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8.png" ContentType="image/png"/>
  <Override PartName="/word/media/rId28.png" ContentType="image/png"/>
  <Override PartName="/word/media/rId34.jpg" ContentType="image/jpeg"/>
  <Override PartName="/word/media/rId40.jpg" ContentType="image/jpeg"/>
  <Override PartName="/word/media/rId51.jpg" ContentType="image/jpeg"/>
  <Override PartName="/word/media/rId68.jpg" ContentType="image/jpeg"/>
  <Override PartName="/word/media/rId78.jpg" ContentType="image/jpeg"/>
  <Override PartName="/word/media/rId86.jpg" ContentType="image/jpeg"/>
  <Override PartName="/word/media/rId90.jpg" ContentType="image/jpeg"/>
  <Override PartName="/word/media/rId108.jpg" ContentType="image/jpeg"/>
  <Override PartName="/word/media/rId113.jpg" ContentType="image/jpeg"/>
  <Override PartName="/word/media/rId118.jpg" ContentType="image/jpeg"/>
  <Override PartName="/word/media/rId122.jpg" ContentType="image/jpeg"/>
  <Override PartName="/word/media/rId130.png" ContentType="image/png"/>
  <Override PartName="/word/media/rId144.jpg" ContentType="image/jpeg"/>
  <Override PartName="/word/media/rId153.jpg" ContentType="image/jpeg"/>
  <Override PartName="/word/media/rId1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p>
    <w:p>
      <w:pPr>
        <w:pStyle w:val="Subtitle"/>
      </w:pP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17</w:t>
      </w:r>
      <w:r>
        <w:t xml:space="preserve"> </w:t>
      </w:r>
      <w:r>
        <w:t xml:space="preserve">October</w:t>
      </w:r>
      <w:r>
        <w:t xml:space="preserve"> </w:t>
      </w:r>
      <w:r>
        <w:t xml:space="preserve">2023</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27" w:name="front-matter"/>
    <w:p>
      <w:pPr>
        <w:pStyle w:val="Heading1"/>
      </w:pPr>
      <w:r>
        <w:t xml:space="preserve">Front Matter</w:t>
      </w:r>
    </w:p>
    <w:bookmarkStart w:id="20" w:name="about"/>
    <w:p>
      <w:pPr>
        <w:pStyle w:val="Heading2"/>
      </w:pPr>
      <w:r>
        <w:t xml:space="preserve">About</w:t>
      </w:r>
    </w:p>
    <w:p>
      <w:pPr>
        <w:pStyle w:val="FirstParagraph"/>
      </w:pPr>
      <w:r>
        <w:t xml:space="preserve">The following pages represent the first volume of a book. The main goal was to introduce the evolutionary problem of sexual reproduction, with a focus on competition between sexual and asexual females. But I also incorporated some ideas on genetic polymorphism and phenotypic plasticity with the goal of exploring</w:t>
      </w:r>
      <w:r>
        <w:t xml:space="preserve"> </w:t>
      </w:r>
      <w:r>
        <w:t xml:space="preserve">“</w:t>
      </w:r>
      <w:r>
        <w:t xml:space="preserve">variation strategies</w:t>
      </w:r>
      <w:r>
        <w:t xml:space="preserve">”</w:t>
      </w:r>
      <w:r>
        <w:t xml:space="preserve"> </w:t>
      </w:r>
      <w:r>
        <w:t xml:space="preserve">more generally. Finally, I tried to weave in some history of the field, along with some philosophy of science.</w:t>
      </w:r>
    </w:p>
    <w:bookmarkEnd w:id="20"/>
    <w:bookmarkStart w:id="22"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Oren Harman, and especially Maurine Neiman and her lab group at the University of Iowa. Additional comments are welcome by</w:t>
      </w:r>
      <w:r>
        <w:t xml:space="preserve"> </w:t>
      </w:r>
      <w:hyperlink r:id="rId21">
        <w:r>
          <w:rPr>
            <w:rStyle w:val="Hyperlink"/>
          </w:rPr>
          <w:t xml:space="preserve">email</w:t>
        </w:r>
      </w:hyperlink>
      <w:r>
        <w:t xml:space="preserve">.</w:t>
      </w:r>
    </w:p>
    <w:p>
      <w:pPr>
        <w:pStyle w:val="BodyText"/>
      </w:pPr>
      <w:r>
        <w:t xml:space="preserve">Special thanks to Zoe Michelle Dinges (ZMD), who redrew the graphs and contributed original illustrations. Many thanks also to Adam Mazel of Indiana University Libraries for preparing the document for online publication.</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2"/>
    <w:bookmarkStart w:id="23" w:name="copyright-and-license"/>
    <w:p>
      <w:pPr>
        <w:pStyle w:val="Heading2"/>
      </w:pPr>
      <w:r>
        <w:t xml:space="preserve">Copyright and License</w:t>
      </w:r>
    </w:p>
    <w:p>
      <w:pPr>
        <w:pStyle w:val="FirstParagraph"/>
      </w:pPr>
      <w:r>
        <w:t xml:space="preserve">Copyright Curtis M. Lively 2023</w:t>
      </w:r>
    </w:p>
    <w:p>
      <w:pPr>
        <w:pStyle w:val="BodyText"/>
      </w:pPr>
      <w:r>
        <w:t xml:space="preserve">Through the Looking Glass: I. Why Cross-Fertilize?</w:t>
      </w:r>
      <w:r>
        <w:t xml:space="preserve"> </w:t>
      </w:r>
      <w:r>
        <w:t xml:space="preserve">by</w:t>
      </w:r>
      <w:r>
        <w:t xml:space="preserve"> </w:t>
      </w:r>
      <w:r>
        <w:t xml:space="preserve">Curtis M. Lively</w:t>
      </w:r>
      <w:r>
        <w:t xml:space="preserve"> </w:t>
      </w:r>
      <w:r>
        <w:t xml:space="preserve">is licensed under a</w:t>
      </w:r>
      <w:r>
        <w:t xml:space="preserve"> </w:t>
      </w:r>
      <w:r>
        <w:t xml:space="preserve">Creative Commons Attribution 4.0 International License</w:t>
      </w:r>
      <w:r>
        <w:t xml:space="preserve">.</w:t>
      </w:r>
    </w:p>
    <w:bookmarkEnd w:id="23"/>
    <w:bookmarkStart w:id="25" w:name="publisher-information"/>
    <w:p>
      <w:pPr>
        <w:pStyle w:val="Heading2"/>
      </w:pPr>
      <w:r>
        <w:t xml:space="preserve">Publisher Information</w:t>
      </w:r>
    </w:p>
    <w:p>
      <w:pPr>
        <w:pStyle w:val="FirstParagraph"/>
      </w:pPr>
      <w:hyperlink r:id="rId24">
        <w:r>
          <w:rPr>
            <w:rStyle w:val="Hyperlink"/>
          </w:rPr>
          <w:t xml:space="preserve">Indiana University Bloomington Libraries</w:t>
        </w:r>
      </w:hyperlink>
    </w:p>
    <w:bookmarkEnd w:id="25"/>
    <w:bookmarkStart w:id="26" w:name="how-to-cite"/>
    <w:p>
      <w:pPr>
        <w:pStyle w:val="Heading2"/>
      </w:pPr>
      <w:r>
        <w:t xml:space="preserve">How to Cite</w:t>
      </w:r>
    </w:p>
    <w:p>
      <w:pPr>
        <w:pStyle w:val="FirstParagraph"/>
      </w:pPr>
      <w:r>
        <w:t xml:space="preserve">Lively, C. M. (2023, June ??). Through the Looking Glass: I. Why Cross-Fertilize? Indiana University Bloomington Libraries https://doi.org/</w:t>
      </w:r>
    </w:p>
    <w:bookmarkEnd w:id="26"/>
    <w:bookmarkEnd w:id="27"/>
    <w:bookmarkStart w:id="67" w:name="sec-why-sex"/>
    <w:p>
      <w:pPr>
        <w:pStyle w:val="Heading1"/>
      </w:pPr>
      <w:r>
        <w:t xml:space="preserve">1. Why Sex?</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64280" cy="2608639"/>
                  <wp:effectExtent b="0" l="0" r="0" t="0"/>
                  <wp:docPr descr="" title="" id="29" name="Picture"/>
                  <a:graphic>
                    <a:graphicData uri="http://schemas.openxmlformats.org/drawingml/2006/picture">
                      <pic:pic>
                        <pic:nvPicPr>
                          <pic:cNvPr descr="images/Picture1.png" id="30" name="Picture"/>
                          <pic:cNvPicPr>
                            <a:picLocks noChangeArrowheads="1" noChangeAspect="1"/>
                          </pic:cNvPicPr>
                        </pic:nvPicPr>
                        <pic:blipFill>
                          <a:blip r:embed="rId28"/>
                          <a:stretch>
                            <a:fillRect/>
                          </a:stretch>
                        </pic:blipFill>
                        <pic:spPr bwMode="auto">
                          <a:xfrm>
                            <a:off x="0" y="0"/>
                            <a:ext cx="2064280" cy="2608639"/>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 Astrid Kodric-Brown instructed me to read the preface of G.C. Williams’ book,</w:t>
      </w:r>
      <w:r>
        <w:t xml:space="preserve"> </w:t>
      </w:r>
      <w:r>
        <w:rPr>
          <w:iCs/>
          <w:i/>
        </w:rPr>
        <w:t xml:space="preserve">Sex and Evolution</w:t>
      </w:r>
      <w:r>
        <w:t xml:space="preserve">, which contains the following text (Williams 1975):</w:t>
      </w:r>
      <w:r>
        <w:t xml:space="preserve"> </w:t>
      </w:r>
      <w:r>
        <w:t xml:space="preserve">“</w:t>
      </w:r>
      <w:r>
        <w:t xml:space="preserve">This book is written from a conviction that the prevalence of sexual reproduction in higher plants and animals is inconsistent with current evolutionary theory…. Many well informed readers may disagree with much of my reasoning, but I hope to at least convince them that here is a crisis at hand in evolutionary biology….</w:t>
      </w:r>
      <w:r>
        <w:t xml:space="preserve">”</w:t>
      </w:r>
      <w:r>
        <w:t xml:space="preserve">”</w:t>
      </w:r>
    </w:p>
    <w:p>
      <w:pPr>
        <w:pStyle w:val="BodyText"/>
      </w:pPr>
      <w:r>
        <w:t xml:space="preserve">The question was something like this:</w:t>
      </w:r>
      <w:r>
        <w:t xml:space="preserve"> </w:t>
      </w:r>
      <w:r>
        <w:rPr>
          <w:iCs/>
          <w:i/>
        </w:rPr>
        <w:t xml:space="preserve">Why does Williams think that sexual reproduction poses a crisis for evolutionary biology, and what is the solution</w:t>
      </w:r>
      <w:r>
        <w:t xml:space="preserve">? A crisis? That was news to me. How could there be a crisis on evolutionary biology 40-plus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t xml:space="preserve">“</w:t>
      </w:r>
      <w:r>
        <w:t xml:space="preserve">The Structure of Scientific Revolutions</w:t>
      </w:r>
      <w:r>
        <w:t xml:space="preserve">”</w:t>
      </w:r>
      <w:r>
        <w:t xml:space="preserve"> </w:t>
      </w:r>
      <w:r>
        <w:t xml:space="preserve">as an undergraduate (Kuhn 1970).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1"/>
    <w:bookmarkStart w:id="61"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 (review in Lehtonen et al. 2012). However, while important,</w:t>
      </w:r>
      <w:r>
        <w:t xml:space="preserve"> </w:t>
      </w:r>
      <w:r>
        <w:t xml:space="preserve">these costs do not form the core of the paradox. Historically, the paradox of sex stems from two things: (1) the cost of meiosis, and (2) the cost of producing males.</w:t>
      </w:r>
    </w:p>
    <w:bookmarkStart w:id="33"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 (1975). His idea was simply that females are only half as related to their outcrossed offspring as they are to their self-fertilized or parthenogenetic offspring.</w:t>
      </w:r>
      <w:r>
        <w:rPr>
          <w:rStyle w:val="FootnoteReference"/>
        </w:rPr>
        <w:footnoteReference w:id="32"/>
      </w:r>
      <w:r>
        <w:t xml:space="preserve"> </w:t>
      </w:r>
      <w:r>
        <w:t xml:space="preserve">(See</w:t>
      </w:r>
      <w:r>
        <w:t xml:space="preserve"> </w:t>
      </w:r>
      <w:hyperlink w:anchor="callout-1">
        <w:r>
          <w:rPr>
            <w:rStyle w:val="Hyperlink"/>
          </w:rPr>
          <w:t xml:space="preserve">Box 1.1</w:t>
        </w:r>
      </w:hyperlink>
      <w:r>
        <w:t xml:space="preserve"> </w:t>
      </w:r>
      <w:r>
        <w:t xml:space="preserve">for condensed definitions.) Williams’ idea also had theoretical support, as R.A. Fisher had already shown that an allele causing self-fertilization would rapidly spread to fixation, barring severe inbreeding depression (Fisher 1941). So, why cross-fertilize? The persistence of cross-fertilization despite the cost of meiosis formed a paradox. This paradox created the crisis that Williams saw in evolutionary biology.</w:t>
      </w:r>
    </w:p>
    <w:bookmarkEnd w:id="33"/>
    <w:bookmarkStart w:id="39" w:name="the-cost-of-males"/>
    <w:p>
      <w:pPr>
        <w:pStyle w:val="Heading3"/>
      </w:pPr>
      <w:r>
        <w:t xml:space="preserve">1.2.2 The cost of males</w:t>
      </w:r>
    </w:p>
    <w:p>
      <w:pPr>
        <w:pStyle w:val="FirstParagraph"/>
      </w:pPr>
      <w:r>
        <w:t xml:space="preserve">The other way to look at the problem was proposed by John Maynard Smith (Maynard Smith 1971, 1978).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 (Lively 1996). We thus seek a selective force that can give an advantage to sexual reproduction on a very short time scale.</w:t>
      </w:r>
    </w:p>
    <w:tbl>
      <w:tblPr>
        <w:tblStyle w:val="Table"/>
        <w:tblW w:type="pct" w:w="5000"/>
        <w:tblLook w:firstRow="0" w:lastRow="0" w:firstColumn="0" w:lastColumn="0" w:noHBand="0" w:noVBand="0" w:val="0000"/>
        <w:jc w:val="start"/>
      </w:tblPr>
      <w:tblGrid>
        <w:gridCol w:w="7920"/>
      </w:tblGrid>
      <w:tr>
        <w:tc>
          <w:tcPr/>
          <w:bookmarkStart w:id="37" w:name="fig-1.1"/>
          <w:p>
            <w:pPr>
              <w:jc w:val="center"/>
            </w:pPr>
            <w:r>
              <w:drawing>
                <wp:inline>
                  <wp:extent cx="3721608" cy="4559808"/>
                  <wp:effectExtent b="0" l="0" r="0" t="0"/>
                  <wp:docPr descr="" title="" id="35" name="Picture"/>
                  <a:graphic>
                    <a:graphicData uri="http://schemas.openxmlformats.org/drawingml/2006/picture">
                      <pic:pic>
                        <pic:nvPicPr>
                          <pic:cNvPr descr="images/fig1-1.jpg" id="36" name="Picture"/>
                          <pic:cNvPicPr>
                            <a:picLocks noChangeArrowheads="1" noChangeAspect="1"/>
                          </pic:cNvPicPr>
                        </pic:nvPicPr>
                        <pic:blipFill>
                          <a:blip r:embed="rId34"/>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 (Whitton et al. 2008) and animals (Vrijenhoek 1998). Hence the paradox. Why is sexual reproduction so costly and yet so common?</w:t>
            </w:r>
          </w:p>
          <w:bookmarkEnd w:id="37"/>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38"/>
      </w:r>
      <w:r>
        <w:t xml:space="preserve"> </w:t>
      </w:r>
      <w:r>
        <w:t xml:space="preserve">His model only assumes that sexual and asexual females have equal fecundities and survivorship probabilities (see</w:t>
      </w:r>
      <w:r>
        <w:t xml:space="preserve"> </w:t>
      </w:r>
      <w:hyperlink w:anchor="callout-2">
        <w:r>
          <w:rPr>
            <w:rStyle w:val="Hyperlink"/>
          </w:rPr>
          <w:t xml:space="preserve">Box 1.2</w:t>
        </w:r>
      </w:hyperlink>
      <w:r>
        <w:t xml:space="preserve">). Under this assumption, a very rare clone would double in frequency in the next generation. Maynard Smith called this doubling-when-rare the two-fold cost of sex.</w:t>
      </w:r>
    </w:p>
    <w:bookmarkEnd w:id="39"/>
    <w:bookmarkStart w:id="46"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 (Lively and Lloyd 1990).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Pr>
      <w:tblGrid>
        <w:gridCol w:w="7920"/>
      </w:tblGrid>
      <w:tr>
        <w:tc>
          <w:tcPr/>
          <w:bookmarkStart w:id="45" w:name="fig-1-2"/>
          <w:p>
            <w:pPr>
              <w:jc w:val="center"/>
            </w:pPr>
            <w:r>
              <w:drawing>
                <wp:inline>
                  <wp:extent cx="4572000" cy="6543675"/>
                  <wp:effectExtent b="0" l="0" r="0" t="0"/>
                  <wp:docPr descr="" title="" id="41" name="Picture"/>
                  <a:graphic>
                    <a:graphicData uri="http://schemas.openxmlformats.org/drawingml/2006/picture">
                      <pic:pic>
                        <pic:nvPicPr>
                          <pic:cNvPr descr="images/fig1-2.jpg" id="42" name="Picture"/>
                          <pic:cNvPicPr>
                            <a:picLocks noChangeArrowheads="1" noChangeAspect="1"/>
                          </pic:cNvPicPr>
                        </pic:nvPicPr>
                        <pic:blipFill>
                          <a:blip r:embed="rId40"/>
                          <a:stretch>
                            <a:fillRect/>
                          </a:stretch>
                        </pic:blipFill>
                        <pic:spPr bwMode="auto">
                          <a:xfrm>
                            <a:off x="0" y="0"/>
                            <a:ext cx="4572000" cy="6543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 (Lively 2009b).</w:t>
            </w:r>
            <w:r>
              <w:t xml:space="preserve"> </w:t>
            </w:r>
            <w:r>
              <w:rPr>
                <w:bCs/>
                <w:b/>
              </w:rPr>
              <w:t xml:space="preserve">A</w:t>
            </w:r>
            <w:r>
              <w:t xml:space="preserve"> </w:t>
            </w:r>
            <w:r>
              <w:t xml:space="preserve">(top). Results for a 1:1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43">
              <w:r>
                <w:rPr>
                  <w:rStyle w:val="Hyperlink"/>
                </w:rPr>
                <w:t xml:space="preserve">here</w:t>
              </w:r>
            </w:hyperlink>
            <w:r>
              <w:t xml:space="preserve">. The interactive graph can also be run</w:t>
            </w:r>
            <w:r>
              <w:t xml:space="preserve"> </w:t>
            </w:r>
            <w:hyperlink r:id="rId44">
              <w:r>
                <w:rPr>
                  <w:rStyle w:val="Hyperlink"/>
                </w:rPr>
                <w:t xml:space="preserve">here</w:t>
              </w:r>
            </w:hyperlink>
            <w:r>
              <w:t xml:space="preserve"> </w:t>
            </w:r>
            <w:r>
              <w:t xml:space="preserve">for users without R.</w:t>
            </w:r>
          </w:p>
          <w:bookmarkEnd w:id="45"/>
        </w:tc>
      </w:tr>
    </w:tbl>
    <w:bookmarkEnd w:id="46"/>
    <w:bookmarkStart w:id="5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 (1971) formally showed that:</w:t>
      </w:r>
      <w:r>
        <w:t xml:space="preserve"> </w:t>
      </w:r>
      <w:r>
        <w:rPr>
          <w:iCs/>
          <w:i/>
        </w:rPr>
        <w:t xml:space="preserve">… the mean fitness of the population at equilibrium is a maximum in the absence of recombination</w:t>
      </w:r>
      <w:r>
        <w:t xml:space="preserve">.</w:t>
      </w:r>
      <w:r>
        <w:rPr>
          <w:rStyle w:val="FootnoteReference"/>
        </w:rPr>
        <w:footnoteReference w:id="47"/>
      </w:r>
      <w:r>
        <w:t xml:space="preserve"> </w:t>
      </w:r>
      <w:r>
        <w:t xml:space="preserve">Hence, there are two interrelated anomalies: cross-fertilization per se and meiotic recombination. Ideally, any theory that explains the persistence of biparental sex could also solve the paradox of recombination. But this need not be the case. They could have different solutions.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mazel\AppData\Local\Programs\Quarto\share\formats\docx\tip.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1.1</w:t>
            </w:r>
          </w:p>
        </w:tc>
      </w:tr>
      <w:tr>
        <w:trPr>
          <w:cantSplit/>
        </w:trPr>
        <w:tc>
          <w:tcPr>
            <w:tcMar>
              <w:top w:w="108" w:type="dxa"/>
              <w:bottom w:w="108" w:type="dxa"/>
            </w:tcMar>
          </w:tcPr>
          <w:p>
            <w:pPr>
              <w:pStyle w:val="BodyText"/>
            </w:pPr>
            <w:pPr>
              <w:spacing w:before="16"/>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1:1 sex ratio), while asexual females must only produce one offspring. Hence, asexuals should have higher carrying capacities, as shown in (</w:t>
            </w:r>
            <w:hyperlink w:anchor="fig-1-2">
              <w:r>
                <w:rPr>
                  <w:rStyle w:val="Hyperlink"/>
                </w:rPr>
                <w:t xml:space="preserve">Figure 1.2</w:t>
              </w:r>
            </w:hyperlink>
            <w:r>
              <w:t xml:space="preserve">).</w:t>
            </w:r>
          </w:p>
          <w:p>
            <w:pPr>
              <w:pStyle w:val="BodyText"/>
            </w:pPr>
            <w:r>
              <w:rPr>
                <w:bCs/>
                <w:b/>
              </w:rPr>
              <w:t xml:space="preserve">Cost of males</w:t>
            </w:r>
            <w:r>
              <w:t xml:space="preserve">. 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The exchange of gametes between different individuals, which may or may not be related.</w:t>
            </w:r>
          </w:p>
          <w:p>
            <w:pPr>
              <w:pStyle w:val="BodyText"/>
            </w:pPr>
            <w:r>
              <w:rPr>
                <w:bCs/>
                <w:b/>
              </w:rPr>
              <w:t xml:space="preserve">Outcrossing</w:t>
            </w:r>
            <w:r>
              <w:t xml:space="preserve">. A form of cross-fertilization, which specifies crossing between unrelated individuals.</w:t>
            </w:r>
          </w:p>
          <w:p>
            <w:pPr>
              <w:pStyle w:val="BodyText"/>
            </w:pPr>
            <w:r>
              <w:rPr>
                <w:bCs/>
                <w:b/>
              </w:rPr>
              <w:t xml:space="preserve">Parthenogenesis</w:t>
            </w:r>
            <w:r>
              <w:t xml:space="preserve">. Any form of asexual reproduction through ova.</w:t>
            </w:r>
          </w:p>
          <w:p>
            <w:pPr>
              <w:pStyle w:val="BodyText"/>
            </w:pPr>
            <w:r>
              <w:rPr>
                <w:bCs/>
                <w:b/>
              </w:rPr>
              <w:t xml:space="preserve">Recombination</w:t>
            </w:r>
            <w:r>
              <w:t xml:space="preserve">. 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The fusion of gametes from the same individual.</w:t>
            </w:r>
          </w:p>
          <w:p>
            <w:pPr>
              <w:pStyle w:val="BodyText"/>
            </w:pPr>
            <w:r>
              <w:rPr>
                <w:bCs/>
                <w:b/>
              </w:rPr>
              <w:t xml:space="preserve">Sex/rec</w:t>
            </w:r>
            <w:r>
              <w:t xml:space="preserve">. Shorthand for sexual reproduction and recombination.</w:t>
            </w:r>
          </w:p>
          <w:p>
            <w:pPr>
              <w:pStyle w:val="BodyText"/>
            </w:pPr>
            <w:pPr>
              <w:spacing w:after="16"/>
            </w:pPr>
            <w:r>
              <w:rPr>
                <w:bCs/>
                <w:b/>
              </w:rPr>
              <w:t xml:space="preserve">Sexual reproduction</w:t>
            </w:r>
            <w:r>
              <w:t xml:space="preserve">. I use the term here to mean cross-fertilization between unrelated individuals. However, the term is more general, and can be used to mean the incorporation of novel genetic material by any mechanism.</w:t>
            </w:r>
          </w:p>
        </w:tc>
      </w:tr>
    </w:tbl>
    <w:tbl>
      <w:tblPr>
        <w:tblStyle w:val="Table"/>
        <w:tblW w:type="pct" w:w="5000"/>
        <w:tblLook w:firstRow="0" w:lastRow="0" w:firstColumn="0" w:lastColumn="0" w:noHBand="0" w:noVBand="0" w:val="0000"/>
        <w:jc w:val="start"/>
      </w:tblPr>
      <w:tblGrid>
        <w:gridCol w:w="7920"/>
      </w:tblGrid>
      <w:tr>
        <w:tc>
          <w:tcPr/>
          <w:bookmarkStart w:id="54" w:name="fig-1.3"/>
          <w:p>
            <w:pPr>
              <w:jc w:val="center"/>
            </w:pPr>
            <w:r>
              <w:drawing>
                <wp:inline>
                  <wp:extent cx="7429500" cy="3312682"/>
                  <wp:effectExtent b="0" l="0" r="0" t="0"/>
                  <wp:docPr descr="" title="" id="52" name="Picture"/>
                  <a:graphic>
                    <a:graphicData uri="http://schemas.openxmlformats.org/drawingml/2006/picture">
                      <pic:pic>
                        <pic:nvPicPr>
                          <pic:cNvPr descr="images/fig1-3.jpg" id="53" name="Picture"/>
                          <pic:cNvPicPr>
                            <a:picLocks noChangeArrowheads="1" noChangeAspect="1"/>
                          </pic:cNvPicPr>
                        </pic:nvPicPr>
                        <pic:blipFill>
                          <a:blip r:embed="rId51"/>
                          <a:stretch>
                            <a:fillRect/>
                          </a:stretch>
                        </pic:blipFill>
                        <pic:spPr bwMode="auto">
                          <a:xfrm>
                            <a:off x="0" y="0"/>
                            <a:ext cx="7429500" cy="33126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 (1862) by ZMD.</w:t>
            </w:r>
          </w:p>
          <w:bookmarkEnd w:id="54"/>
        </w:tc>
      </w:tr>
    </w:tbl>
    <w:bookmarkEnd w:id="55"/>
    <w:bookmarkStart w:id="60"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 (reviews in Meirmans 2009, Dagg 2016).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 (Darwin 1862). In discussing these results, Darwin speculated that the two morphs may have evolved to insure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r>
        <w:t xml:space="preserve">”</w:t>
      </w:r>
    </w:p>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56"/>
      </w:r>
      <w:r>
        <w:t xml:space="preserve">.</w:t>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 (review in Bell 1982).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 (1862) paper on</w:t>
      </w:r>
      <w:r>
        <w:t xml:space="preserve"> </w:t>
      </w:r>
      <w:r>
        <w:rPr>
          <w:iCs/>
          <w:i/>
        </w:rPr>
        <w:t xml:space="preserve">Primula</w:t>
      </w:r>
      <w:r>
        <w:t xml:space="preserve">, Carl Theodor Ernst von Siebold (1856) 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rPr>
          <w:iCs/>
          <w:i/>
        </w:rPr>
        <w:t xml:space="preserve">There is no greater mystery in the whole world, as it seems to me, than the existence of sexes, – more especially since the discovery of Parthenogenesis</w:t>
      </w:r>
      <w:r>
        <w:t xml:space="preserve">. Letter to J. S. Henslow. See</w:t>
      </w:r>
      <w:r>
        <w:t xml:space="preserve"> </w:t>
      </w:r>
      <w:hyperlink r:id="rId57">
        <w:r>
          <w:rPr>
            <w:rStyle w:val="Hyperlink"/>
          </w:rPr>
          <w:t xml:space="preserve">Darwin Correspondence Project</w:t>
        </w:r>
      </w:hyperlink>
      <w:r>
        <w:t xml:space="preserve">.</w:t>
      </w:r>
    </w:p>
    <w:p>
      <w:pPr>
        <w:pStyle w:val="BodyText"/>
      </w:pPr>
      <w:r>
        <w:t xml:space="preserve">However, the discovery of parthenogenesis</w:t>
      </w:r>
      <w:r>
        <w:rPr>
          <w:rStyle w:val="FootnoteReference"/>
        </w:rPr>
        <w:footnoteReference w:id="58"/>
      </w:r>
      <w:r>
        <w:t xml:space="preserve"> </w:t>
      </w:r>
      <w:r>
        <w:t xml:space="preserve">was met with some hostility. Consider, for example, the following statement by Rudolf Wagner in his 1857 review of von Siebold’s book on parthenogenesis [as translated from the original German by Churchill (1979)]:</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 (1868) wrote:</w:t>
      </w:r>
      <w:r>
        <w:t xml:space="preserve"> </w:t>
      </w:r>
      <w:r>
        <w:rPr>
          <w:iCs/>
          <w:i/>
        </w:rPr>
        <w:t xml:space="preserve">Parthenogenesis is no longer wonderful; in fact, the wonder is that it should not oftener occur</w:t>
      </w:r>
      <w:r>
        <w:t xml:space="preserve">.</w:t>
      </w:r>
      <w:r>
        <w:rPr>
          <w:rStyle w:val="FootnoteReference"/>
        </w:rPr>
        <w:footnoteReference w:id="59"/>
      </w:r>
    </w:p>
    <w:p>
      <w:pPr>
        <w:pStyle w:val="BodyText"/>
      </w:pPr>
      <w:r>
        <w:t xml:space="preserve">Over 100 years later, W. D. Hamilton (1975) 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 (1976) 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0"/>
    <w:bookmarkEnd w:id="61"/>
    <w:bookmarkStart w:id="66" w:name="summary"/>
    <w:p>
      <w:pPr>
        <w:pStyle w:val="Heading2"/>
      </w:pPr>
      <w:r>
        <w:t xml:space="preserve">1.3 Summary</w:t>
      </w:r>
    </w:p>
    <w:p>
      <w:pPr>
        <w:numPr>
          <w:ilvl w:val="0"/>
          <w:numId w:val="1001"/>
        </w:numPr>
        <w:pStyle w:val="Compact"/>
      </w:pPr>
      <w:r>
        <w:t xml:space="preserve">Obligate sexual reproduction is subject to invasion and replacement by all-female asexual lineages that do not pay the cost of males.</w:t>
      </w:r>
    </w:p>
    <w:p>
      <w:pPr>
        <w:numPr>
          <w:ilvl w:val="0"/>
          <w:numId w:val="1001"/>
        </w:numPr>
        <w:pStyle w:val="Compact"/>
      </w:pPr>
      <w:r>
        <w:t xml:space="preserve">Obligate outcrossing in simultaneous hermaphrodites is subject to invasion and replacement by self-fertilization unless inbreeding depression is severe.</w:t>
      </w:r>
    </w:p>
    <w:p>
      <w:pPr>
        <w:numPr>
          <w:ilvl w:val="0"/>
          <w:numId w:val="1001"/>
        </w:numPr>
        <w:pStyle w:val="Compact"/>
      </w:pPr>
      <w:r>
        <w:t xml:space="preserve">The exchange of DNA between different parental chromosomes (recombination) is similarly paradoxical.</w:t>
      </w:r>
    </w:p>
    <w:p>
      <w:pPr>
        <w:numPr>
          <w:ilvl w:val="0"/>
          <w:numId w:val="1001"/>
        </w:numPr>
        <w:pStyle w:val="Compact"/>
      </w:pPr>
      <w:r>
        <w:t xml:space="preserve">Why then are recombination and cross-fertilization so common?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mazel\AppData\Local\Programs\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1.2</w:t>
            </w:r>
          </w:p>
        </w:tc>
      </w:tr>
      <w:tr>
        <w:trPr>
          <w:cantSplit/>
        </w:trPr>
        <w:tc>
          <w:tcPr>
            <w:tcMar>
              <w:top w:w="108" w:type="dxa"/>
              <w:bottom w:w="108" w:type="dxa"/>
            </w:tcMar>
          </w:tcPr>
          <w:p>
            <w:pPr>
              <w:pStyle w:val="BodyText"/>
            </w:pPr>
            <w:pPr>
              <w:spacing w:before="16"/>
            </w:pPr>
            <w:r>
              <w:t xml:space="preserve">Maynard Smith’s (1978) model showing the cost of producing males.</w:t>
            </w:r>
            <w:r>
              <w:rPr>
                <w:rStyle w:val="FootnoteReference"/>
              </w:rPr>
              <w:footnoteReference w:id="65"/>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1, while</w:t>
            </w:r>
            <w:r>
              <w:t xml:space="preserve"> </w:t>
            </w:r>
            <m:oMath>
              <m:sSub>
                <m:e>
                  <m:r>
                    <m:t>N</m:t>
                  </m:r>
                </m:e>
                <m:sub>
                  <m:r>
                    <m:t>s</m:t>
                  </m:r>
                  <m:r>
                    <m:t>e</m:t>
                  </m:r>
                  <m:r>
                    <m:t>x</m:t>
                  </m:r>
                </m:sub>
              </m:sSub>
            </m:oMath>
            <w:r>
              <w:t xml:space="preserve"> </w:t>
            </w:r>
            <w:r>
              <w:t xml:space="preserve">gives the total number of sexual individuals (males plus females) at time 1.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2 can then be calculated as is the table below. (Note, we do not assume that the population is at carrying capacity).</w:t>
            </w:r>
          </w:p>
          <w:tbl>
            <w:tblPr>
              <w:tblStyle w:val="Table"/>
              <w:tblW w:type="pct" w:w="5000"/>
              <w:tblLook w:firstRow="1" w:lastRow="0" w:firstColumn="0" w:lastColumn="0" w:noHBand="0" w:noVBand="0" w:val="0020"/>
              <w:jc w:val="start"/>
            </w:tblPr>
            <w:tblGrid>
              <w:gridCol w:w="1272"/>
              <w:gridCol w:w="1791"/>
              <w:gridCol w:w="4855"/>
            </w:tblGrid>
            <w:tr>
              <w:trPr>
                <w:tblHeader w:val="true"/>
              </w:trPr>
              <w:tc>
                <w:tcPr/>
                <w:p>
                  <w:pPr>
                    <w:pStyle w:val="Compact"/>
                  </w:pPr>
                </w:p>
              </w:tc>
              <w:tc>
                <w:tcPr/>
                <w:p>
                  <w:pPr>
                    <w:pStyle w:val="Compact"/>
                    <w:jc w:val="center"/>
                  </w:pPr>
                  <w:r>
                    <w:rPr>
                      <w:bCs/>
                      <w:b/>
                    </w:rPr>
                    <w:t xml:space="preserve">Time 1</w:t>
                  </w:r>
                </w:p>
              </w:tc>
              <w:tc>
                <w:tcPr/>
                <w:p>
                  <w:pPr>
                    <w:pStyle w:val="Compact"/>
                    <w:jc w:val="center"/>
                  </w:pPr>
                  <w:r>
                    <w:rPr>
                      <w:bCs/>
                      <w:b/>
                    </w:rPr>
                    <w:t xml:space="preserve">Time 2</w:t>
                  </w:r>
                </w:p>
              </w:tc>
            </w:tr>
            <w:tr>
              <w:tc>
                <w:tcPr/>
                <w:p>
                  <w:pPr>
                    <w:pStyle w:val="Compact"/>
                    <w:jc w:val="center"/>
                  </w:pPr>
                  <w:r>
                    <w:rPr>
                      <w:bCs/>
                      <w:b/>
                    </w:rPr>
                    <w:t xml:space="preserve">N. of asexuals</w:t>
                  </w:r>
                </w:p>
              </w:tc>
              <w:tc>
                <w:tcPr/>
                <w:p>
                  <w:pPr>
                    <w:pStyle w:val="Compact"/>
                    <w:jc w:val="center"/>
                  </w:pPr>
                  <m:oMath>
                    <m:sSub>
                      <m:e>
                        <m:r>
                          <m:t>N</m:t>
                        </m:r>
                      </m:e>
                      <m:sub>
                        <m:r>
                          <m:t>a</m:t>
                        </m:r>
                        <m:r>
                          <m:t>s</m:t>
                        </m:r>
                        <m:r>
                          <m:t>e</m:t>
                        </m:r>
                        <m:r>
                          <m:t>x</m:t>
                        </m:r>
                      </m:sub>
                    </m:sSub>
                  </m:oMath>
                </w:p>
              </w:tc>
              <w:tc>
                <w:tcPr/>
                <w:p>
                  <w:pPr>
                    <w:pStyle w:val="Compac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pPr>
                  <w:r>
                    <w:rPr>
                      <w:bCs/>
                      <w:b/>
                    </w:rPr>
                    <w:t xml:space="preserve">N. of sexuals</w:t>
                  </w:r>
                </w:p>
              </w:tc>
              <w:tc>
                <w:tcPr/>
                <w:p>
                  <w:pPr>
                    <w:pStyle w:val="Compact"/>
                    <w:jc w:val="center"/>
                  </w:pPr>
                  <m:oMath>
                    <m:sSub>
                      <m:e>
                        <m:r>
                          <m:t>N</m:t>
                        </m:r>
                      </m:e>
                      <m:sub>
                        <m:r>
                          <m:t>s</m:t>
                        </m:r>
                        <m:r>
                          <m:t>e</m:t>
                        </m:r>
                        <m:r>
                          <m:t>x</m:t>
                        </m:r>
                      </m:sub>
                    </m:sSub>
                  </m:oMath>
                </w:p>
              </w:tc>
              <w:tc>
                <w:tcPr/>
                <w:p>
                  <w:pPr>
                    <w:pStyle w:val="Compac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pPr>
                  <w:r>
                    <w:rPr>
                      <w:bCs/>
                      <w:b/>
                    </w:rPr>
                    <w:t xml:space="preserve">Freq. of asexuals</w:t>
                  </w:r>
                </w:p>
              </w:tc>
              <w:tc>
                <w:tcPr/>
                <w:p>
                  <w:pPr>
                    <w:pStyle w:val="Compac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p>
            <w:pPr>
              <w:pStyle w:val="BodyText"/>
            </w:pPr>
            <w:r>
              <w:t xml:space="preserve">The fold increase in frequency of asexuals,</w:t>
            </w:r>
            <w:r>
              <w:t xml:space="preserve"> </w:t>
            </w:r>
            <m:oMath>
              <m:r>
                <m:t>F</m:t>
              </m:r>
            </m:oMath>
            <w:r>
              <w:t xml:space="preserve">, is the ratio of the frequency of asexuals at time 2 divided by the frequency of asexuals at time 1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m:oMathPara>
          </w:p>
          <w:p>
            <w:pPr>
              <w:pStyle w:val="FirstParagraph"/>
            </w:pPr>
            <w:r>
              <w:t xml:space="preserve">Assuming that there is a single asexual female at time 1,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oMath>
            </m:oMathPara>
          </w:p>
          <w:p>
            <w:pPr>
              <w:pStyle w:val="FirstParagraph"/>
            </w:pPr>
            <w:pPr>
              <w:spacing w:after="16"/>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1:1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2-fold.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tc>
      </w:tr>
    </w:tbl>
    <w:bookmarkEnd w:id="66"/>
    <w:bookmarkEnd w:id="67"/>
    <w:bookmarkStart w:id="112" w:name="sec-eco-hyp"/>
    <w:p>
      <w:pPr>
        <w:pStyle w:val="Heading1"/>
      </w:pPr>
      <w:r>
        <w:t xml:space="preserve">2.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22191" cy="2545080"/>
                  <wp:effectExtent b="0" l="0" r="0" t="0"/>
                  <wp:docPr descr="" title="" id="69" name="Picture"/>
                  <a:graphic>
                    <a:graphicData uri="http://schemas.openxmlformats.org/drawingml/2006/picture">
                      <pic:pic>
                        <pic:nvPicPr>
                          <pic:cNvPr descr="images/fig2-1.jpeg" id="70" name="Picture"/>
                          <pic:cNvPicPr>
                            <a:picLocks noChangeArrowheads="1" noChangeAspect="1"/>
                          </pic:cNvPicPr>
                        </pic:nvPicPr>
                        <pic:blipFill>
                          <a:blip r:embed="rId68"/>
                          <a:stretch>
                            <a:fillRect/>
                          </a:stretch>
                        </pic:blipFill>
                        <pic:spPr bwMode="auto">
                          <a:xfrm>
                            <a:off x="0" y="0"/>
                            <a:ext cx="3822191" cy="254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 (Kondrashov 1993). In what follows, I first focus on the ecological hypotheses. The ideas underlying these hypotheses provide a handle for understanding some of the foundational concepts in evolutionary ecology.</w:t>
      </w:r>
    </w:p>
    <w:bookmarkStart w:id="75" w:name="the-lottery-model"/>
    <w:p>
      <w:pPr>
        <w:pStyle w:val="Heading2"/>
      </w:pPr>
      <w:r>
        <w:t xml:space="preserve">2.1 The Lottery Model</w:t>
      </w:r>
    </w:p>
    <w:p>
      <w:pPr>
        <w:pStyle w:val="FirstParagraph"/>
      </w:pPr>
      <w:r>
        <w:t xml:space="preserve">As part of his book on the evolution of sex, Williams (1975) suggested that sex could be favored in fluctuating abiotic environments. The idea is intuitive: cross-fertilization generates variation among offspring. Hence, in fluctuating environments, sex could increase the probability that some offspring might survive. Williams likened the idea to a unique kind of lottery. For example, he wrote:</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referred to the idea as the aphid-rotifer model, but the idea has since come to be known as the Lottery Model (following Bell 1982), which is a more descriptive phrase.</w:t>
      </w:r>
      <w:r>
        <w:rPr>
          <w:rStyle w:val="FootnoteReference"/>
        </w:rPr>
        <w:footnoteReference w:id="71"/>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2"/>
        </w:numPr>
        <w:pStyle w:val="Compact"/>
      </w:pPr>
      <w:r>
        <w:t xml:space="preserve">plant a genetically variable crop, or</w:t>
      </w:r>
    </w:p>
    <w:p>
      <w:pPr>
        <w:numPr>
          <w:ilvl w:val="0"/>
          <w:numId w:val="1002"/>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bet-hedging in evolutionary theory is that selection can act to reduce the variance in reproductive success over time, even if it also reduces the arithmetic mean across years (review in Philippi and Seger 1989). Suppose, for example, that we have the following data for both a monoculture and a genetically variable polyculture (in arbitrary units). Let’s assume that the variation in yield is driven by annual variation in abiotic factors, such as temperature or precipitation. The effect of planting a polyculture (bet-hedging) can be estimated from the geometric mean, which incorporates the variation in yield over time.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Year</w:t>
            </w:r>
          </w:p>
        </w:tc>
        <w:tc>
          <w:tcPr/>
          <w:p>
            <w:pPr>
              <w:pStyle w:val="Compact"/>
              <w:jc w:val="left"/>
            </w:pPr>
            <w:r>
              <w:t xml:space="preserve">Monoculture</w:t>
            </w:r>
          </w:p>
        </w:tc>
        <w:tc>
          <w:tcPr/>
          <w:p>
            <w:pPr>
              <w:pStyle w:val="Compact"/>
              <w:jc w:val="left"/>
            </w:pPr>
            <w:r>
              <w:t xml:space="preserve">Polyculture</w:t>
            </w:r>
          </w:p>
        </w:tc>
      </w:tr>
      <w:tr>
        <w:tc>
          <w:tcPr/>
          <w:p>
            <w:pPr>
              <w:pStyle w:val="Compact"/>
              <w:jc w:val="left"/>
            </w:pPr>
            <w:r>
              <w:t xml:space="preserve">1</w:t>
            </w:r>
          </w:p>
        </w:tc>
        <w:tc>
          <w:tcPr/>
          <w:p>
            <w:pPr>
              <w:pStyle w:val="Compact"/>
              <w:jc w:val="left"/>
            </w:pPr>
            <w:r>
              <w:t xml:space="preserve">350</w:t>
            </w:r>
          </w:p>
        </w:tc>
        <w:tc>
          <w:tcPr/>
          <w:p>
            <w:pPr>
              <w:pStyle w:val="Compact"/>
              <w:jc w:val="left"/>
            </w:pPr>
            <w:r>
              <w:t xml:space="preserve">250</w:t>
            </w:r>
          </w:p>
        </w:tc>
      </w:tr>
      <w:tr>
        <w:tc>
          <w:tcPr/>
          <w:p>
            <w:pPr>
              <w:pStyle w:val="Compact"/>
              <w:jc w:val="left"/>
            </w:pPr>
            <w:r>
              <w:t xml:space="preserve">2</w:t>
            </w:r>
          </w:p>
        </w:tc>
        <w:tc>
          <w:tcPr/>
          <w:p>
            <w:pPr>
              <w:pStyle w:val="Compact"/>
              <w:jc w:val="left"/>
            </w:pPr>
            <w:r>
              <w:t xml:space="preserve">400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300</w:t>
            </w:r>
          </w:p>
        </w:tc>
        <w:tc>
          <w:tcPr/>
          <w:p>
            <w:pPr>
              <w:pStyle w:val="Compact"/>
              <w:jc w:val="left"/>
            </w:pPr>
            <w:r>
              <w:t xml:space="preserve">200</w:t>
            </w:r>
          </w:p>
        </w:tc>
      </w:tr>
      <w:tr>
        <w:tc>
          <w:tcPr/>
          <w:p>
            <w:pPr>
              <w:pStyle w:val="Compact"/>
              <w:jc w:val="left"/>
            </w:pPr>
            <w:r>
              <w:t xml:space="preserve">4</w:t>
            </w:r>
          </w:p>
        </w:tc>
        <w:tc>
          <w:tcPr/>
          <w:p>
            <w:pPr>
              <w:pStyle w:val="Compact"/>
              <w:jc w:val="left"/>
            </w:pPr>
            <w:r>
              <w:t xml:space="preserve">100</w:t>
            </w:r>
          </w:p>
        </w:tc>
        <w:tc>
          <w:tcPr/>
          <w:p>
            <w:pPr>
              <w:pStyle w:val="Compact"/>
              <w:jc w:val="left"/>
            </w:pPr>
            <w:r>
              <w:t xml:space="preserve">200</w:t>
            </w:r>
          </w:p>
        </w:tc>
      </w:tr>
      <w:tr>
        <w:tc>
          <w:tcPr/>
          <w:p>
            <w:pPr>
              <w:pStyle w:val="Compact"/>
              <w:jc w:val="left"/>
            </w:pPr>
            <w:r>
              <w:t xml:space="preserve">5</w:t>
            </w:r>
          </w:p>
        </w:tc>
        <w:tc>
          <w:tcPr/>
          <w:p>
            <w:pPr>
              <w:pStyle w:val="Compact"/>
              <w:jc w:val="left"/>
            </w:pPr>
            <w:r>
              <w:t xml:space="preserve">50</w:t>
            </w:r>
          </w:p>
        </w:tc>
        <w:tc>
          <w:tcPr/>
          <w:p>
            <w:pPr>
              <w:pStyle w:val="Compact"/>
              <w:jc w:val="left"/>
            </w:pPr>
            <w:r>
              <w:t xml:space="preserve">200</w:t>
            </w:r>
          </w:p>
        </w:tc>
      </w:tr>
      <w:tr>
        <w:tc>
          <w:tcPr/>
          <w:p>
            <w:pPr>
              <w:pStyle w:val="Compact"/>
            </w:pPr>
          </w:p>
        </w:tc>
        <w:tc>
          <w:tcPr/>
          <w:p>
            <w:pPr>
              <w:pStyle w:val="Compact"/>
            </w:pPr>
          </w:p>
        </w:tc>
        <w:tc>
          <w:tcPr/>
          <w:p>
            <w:pPr>
              <w:pStyle w:val="Compact"/>
            </w:pPr>
          </w:p>
        </w:tc>
      </w:tr>
      <w:tr>
        <w:tc>
          <w:tcPr/>
          <w:p>
            <w:pPr>
              <w:pStyle w:val="Compact"/>
              <w:jc w:val="left"/>
            </w:pPr>
            <w:r>
              <w:rPr>
                <w:bCs/>
                <w:b/>
              </w:rPr>
              <w:t xml:space="preserve">Arithmetic mean</w:t>
            </w:r>
          </w:p>
        </w:tc>
        <w:tc>
          <w:tcPr/>
          <w:p>
            <w:pPr>
              <w:pStyle w:val="Compact"/>
              <w:jc w:val="left"/>
            </w:pPr>
            <w:r>
              <w:rPr>
                <w:bCs/>
                <w:b/>
              </w:rPr>
              <w:t xml:space="preserve">240</w:t>
            </w:r>
          </w:p>
        </w:tc>
        <w:tc>
          <w:tcPr/>
          <w:p>
            <w:pPr>
              <w:pStyle w:val="Compact"/>
              <w:jc w:val="left"/>
            </w:pPr>
            <w:r>
              <w:t xml:space="preserve">220</w:t>
            </w:r>
          </w:p>
        </w:tc>
      </w:tr>
      <w:tr>
        <w:tc>
          <w:tcPr/>
          <w:p>
            <w:pPr>
              <w:pStyle w:val="Compact"/>
              <w:jc w:val="left"/>
            </w:pPr>
            <w:r>
              <w:rPr>
                <w:bCs/>
                <w:b/>
              </w:rPr>
              <w:t xml:space="preserve">Variance</w:t>
            </w:r>
            <w:r>
              <w:rPr>
                <w:rStyle w:val="FootnoteReference"/>
              </w:rPr>
              <w:footnoteReference w:id="72"/>
            </w:r>
          </w:p>
        </w:tc>
        <w:tc>
          <w:tcPr/>
          <w:p>
            <w:pPr>
              <w:pStyle w:val="Compact"/>
              <w:jc w:val="left"/>
            </w:pPr>
            <w:r>
              <w:t xml:space="preserve">19400</w:t>
            </w:r>
          </w:p>
        </w:tc>
        <w:tc>
          <w:tcPr/>
          <w:p>
            <w:pPr>
              <w:pStyle w:val="Compact"/>
              <w:jc w:val="left"/>
            </w:pPr>
            <w:r>
              <w:t xml:space="preserve">600</w:t>
            </w:r>
          </w:p>
        </w:tc>
      </w:tr>
      <w:tr>
        <w:tc>
          <w:tcPr/>
          <w:p>
            <w:pPr>
              <w:pStyle w:val="Compact"/>
              <w:jc w:val="left"/>
            </w:pPr>
            <w:r>
              <w:rPr>
                <w:bCs/>
                <w:b/>
              </w:rPr>
              <w:t xml:space="preserve">Geometric mean (GM)</w:t>
            </w:r>
            <w:r>
              <w:rPr>
                <w:rStyle w:val="FootnoteReference"/>
              </w:rPr>
              <w:footnoteReference w:id="73"/>
            </w:r>
          </w:p>
        </w:tc>
        <w:tc>
          <w:tcPr/>
          <w:p>
            <w:pPr>
              <w:pStyle w:val="Compact"/>
              <w:jc w:val="left"/>
            </w:pPr>
            <w:r>
              <w:t xml:space="preserve">184</w:t>
            </w:r>
          </w:p>
        </w:tc>
        <w:tc>
          <w:tcPr/>
          <w:p>
            <w:pPr>
              <w:pStyle w:val="Compact"/>
              <w:jc w:val="left"/>
            </w:pPr>
            <w:r>
              <w:rPr>
                <w:bCs/>
                <w:b/>
              </w:rPr>
              <w:t xml:space="preserve">219</w:t>
            </w:r>
          </w:p>
        </w:tc>
      </w:tr>
      <w:tr>
        <w:tc>
          <w:tcPr/>
          <w:p>
            <w:pPr>
              <w:pStyle w:val="Compact"/>
              <w:jc w:val="left"/>
            </w:pPr>
            <w:r>
              <w:rPr>
                <w:bCs/>
                <w:b/>
              </w:rPr>
              <w:t xml:space="preserve">Approximate GM</w:t>
            </w:r>
          </w:p>
        </w:tc>
        <w:tc>
          <w:tcPr/>
          <w:p>
            <w:pPr>
              <w:pStyle w:val="Compact"/>
              <w:jc w:val="left"/>
            </w:pPr>
            <w:r>
              <w:t xml:space="preserve">200</w:t>
            </w:r>
          </w:p>
        </w:tc>
        <w:tc>
          <w:tcPr/>
          <w:p>
            <w:pPr>
              <w:pStyle w:val="Compact"/>
              <w:jc w:val="left"/>
            </w:pPr>
            <w:r>
              <w:rPr>
                <w:bCs/>
                <w:b/>
              </w:rPr>
              <w:t xml:space="preserve">219</w:t>
            </w:r>
          </w:p>
        </w:tc>
      </w:tr>
    </w:tbl>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p>
      <w:pPr>
        <w:pStyle w:val="BodyText"/>
      </w:pPr>
      <w:r>
        <w:t xml:space="preserve">The effect of variance on the geometric mean (GM) can be seen by an approximation (Stearns 2000):</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4"/>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that under a two-fold cost of sex, asexuals can replace large populations of sexuals in tens of generations (see chapter 1). So, if the Lottery Model is correct, significant environmental change must occur very rapidly. The many thousands of years between ice ages, for example, would be too long.</w:t>
      </w:r>
    </w:p>
    <w:bookmarkEnd w:id="75"/>
    <w:bookmarkStart w:id="84" w:name="X35c538c154f4b3900a349f3c4a4847f063e307f"/>
    <w:p>
      <w:pPr>
        <w:pStyle w:val="Heading2"/>
      </w:pPr>
      <w:r>
        <w:t xml:space="preserve">2.2 The Tangled Bank/Frozen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 (Vrijenhoek 1979). This kind of process could explain those situations in which sexual and asexual females coexist, which was a major advance.</w:t>
      </w:r>
      <w:r>
        <w:rPr>
          <w:rStyle w:val="FootnoteReference"/>
        </w:rPr>
        <w:footnoteReference w:id="76"/>
      </w:r>
    </w:p>
    <w:p>
      <w:pPr>
        <w:pStyle w:val="BodyText"/>
      </w:pPr>
      <w:r>
        <w:t xml:space="preserve">A conceptually similar model was independently developed by Graham Bell: the Tangled Bank Hypothesis (Bell 1982).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 (1953) 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callout-2.1">
        <w:r>
          <w:rPr>
            <w:rStyle w:val="Hyperlink"/>
          </w:rPr>
          <w:t xml:space="preserve">Box 2.1</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rPr>
          <w:iCs/>
          <w:i/>
        </w:rPr>
        <w:t xml:space="preserve">frequency-dependent selection</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 (Wallace 1975).</w:t>
      </w:r>
      <w:r>
        <w:rPr>
          <w:rStyle w:val="FootnoteReference"/>
        </w:rPr>
        <w:footnoteReference w:id="77"/>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2-2"/>
          <w:p>
            <w:pPr>
              <w:jc w:val="center"/>
            </w:pPr>
            <w:r>
              <w:drawing>
                <wp:inline>
                  <wp:extent cx="3980688" cy="4069079"/>
                  <wp:effectExtent b="0" l="0" r="0" t="0"/>
                  <wp:docPr descr="" title="" id="79" name="Picture"/>
                  <a:graphic>
                    <a:graphicData uri="http://schemas.openxmlformats.org/drawingml/2006/picture">
                      <pic:pic>
                        <pic:nvPicPr>
                          <pic:cNvPr descr="images/fig2-2.jpeg" id="80" name="Picture"/>
                          <pic:cNvPicPr>
                            <a:picLocks noChangeArrowheads="1" noChangeAspect="1"/>
                          </pic:cNvPicPr>
                        </pic:nvPicPr>
                        <pic:blipFill>
                          <a:blip r:embed="rId78"/>
                          <a:stretch>
                            <a:fillRect/>
                          </a:stretch>
                        </pic:blipFill>
                        <pic:spPr bwMode="auto">
                          <a:xfrm>
                            <a:off x="0" y="0"/>
                            <a:ext cx="3980688" cy="4069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 (1975). The inserted blue text shows how the ecological hypotheses fit into Wallace’s matrix for density-dependent selection vs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1"/>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2"/>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 (Maynard Smith and Hoekstra 1980, Lively 1986a) (see also</w:t>
      </w:r>
      <w:r>
        <w:t xml:space="preserve"> </w:t>
      </w:r>
      <w:hyperlink r:id="rId83">
        <w:r>
          <w:rPr>
            <w:rStyle w:val="Hyperlink"/>
          </w:rPr>
          <w:t xml:space="preserve">Box 3.1</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 (Bell 1982, Vrijenhoek and Parker 2009).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 (Vrijenhoek and Parker 2009). Coexistence, however, is also compatible with the Red Queen hypothesis, which we will now consider.</w:t>
      </w:r>
    </w:p>
    <w:bookmarkEnd w:id="84"/>
    <w:bookmarkStart w:id="104"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5"/>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was a single genotype, while the sexual population was composed of multiple recombining genotypes, only one of which was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Pr>
      <w:tblGrid>
        <w:gridCol w:w="7920"/>
      </w:tblGrid>
      <w:tr>
        <w:tc>
          <w:tcPr/>
          <w:bookmarkStart w:id="89" w:name="fig-2-3"/>
          <w:p>
            <w:pPr>
              <w:jc w:val="center"/>
            </w:pPr>
            <w:r>
              <w:drawing>
                <wp:inline>
                  <wp:extent cx="5943600" cy="7768311"/>
                  <wp:effectExtent b="0" l="0" r="0" t="0"/>
                  <wp:docPr descr="" title="" id="87" name="Picture"/>
                  <a:graphic>
                    <a:graphicData uri="http://schemas.openxmlformats.org/drawingml/2006/picture">
                      <pic:pic>
                        <pic:nvPicPr>
                          <pic:cNvPr descr="images/fig2-3.jpg" id="88" name="Picture"/>
                          <pic:cNvPicPr>
                            <a:picLocks noChangeArrowheads="1" noChangeAspect="1"/>
                          </pic:cNvPicPr>
                        </pic:nvPicPr>
                        <pic:blipFill>
                          <a:blip r:embed="rId86"/>
                          <a:stretch>
                            <a:fillRect/>
                          </a:stretch>
                        </pic:blipFill>
                        <pic:spPr bwMode="auto">
                          <a:xfrm>
                            <a:off x="0" y="0"/>
                            <a:ext cx="5943600" cy="776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 (2009), which treats parasite virulence as a positive function of host density.</w:t>
            </w:r>
          </w:p>
          <w:bookmarkEnd w:id="89"/>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 (Peters and Lively 1999, Schmid-Hempel and Jokela 2002, Peters and Lively 2007, Salathe et al. 2008). These related ideas are now called the Red Queen Hypothesis (following Bell 1982).</w:t>
      </w:r>
    </w:p>
    <w:tbl>
      <w:tblPr>
        <w:tblStyle w:val="Table"/>
        <w:tblW w:type="pct" w:w="5000"/>
        <w:tblLook w:firstRow="0" w:lastRow="0" w:firstColumn="0" w:lastColumn="0" w:noHBand="0" w:noVBand="0" w:val="0000"/>
        <w:jc w:val="start"/>
      </w:tblPr>
      <w:tblGrid>
        <w:gridCol w:w="7920"/>
      </w:tblGrid>
      <w:tr>
        <w:tc>
          <w:tcPr/>
          <w:bookmarkStart w:id="93" w:name="fig-2-4"/>
          <w:p>
            <w:pPr>
              <w:jc w:val="center"/>
            </w:pPr>
            <w:r>
              <w:drawing>
                <wp:inline>
                  <wp:extent cx="5943600" cy="4065198"/>
                  <wp:effectExtent b="0" l="0" r="0" t="0"/>
                  <wp:docPr descr="" title="" id="91" name="Picture"/>
                  <a:graphic>
                    <a:graphicData uri="http://schemas.openxmlformats.org/drawingml/2006/picture">
                      <pic:pic>
                        <pic:nvPicPr>
                          <pic:cNvPr descr="images/fig2-4.jpeg" id="92" name="Picture"/>
                          <pic:cNvPicPr>
                            <a:picLocks noChangeArrowheads="1" noChangeAspect="1"/>
                          </pic:cNvPicPr>
                        </pic:nvPicPr>
                        <pic:blipFill>
                          <a:blip r:embed="rId90"/>
                          <a:stretch>
                            <a:fillRect/>
                          </a:stretch>
                        </pic:blipFill>
                        <pic:spPr bwMode="auto">
                          <a:xfrm>
                            <a:off x="0" y="0"/>
                            <a:ext cx="5943600" cy="4065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 Lively (2009). The dashed line shows the average genotype frequency for hosts and parasites.</w:t>
            </w:r>
          </w:p>
          <w:bookmarkEnd w:id="93"/>
        </w:tc>
      </w:tr>
    </w:tbl>
    <w:bookmarkStart w:id="97"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rPr>
          <w:iCs/>
          <w:i/>
        </w:rPr>
        <w:t xml:space="preserve">Are there more people in the garden besides me?</w:t>
      </w:r>
      <w:r>
        <w:t xml:space="preserve"> </w:t>
      </w:r>
      <w:r>
        <w:t xml:space="preserve">The rose answers</w:t>
      </w:r>
      <w:r>
        <w:t xml:space="preserve"> </w:t>
      </w:r>
      <w:r>
        <w:rPr>
          <w:iCs/>
          <w:i/>
        </w:rPr>
        <w:t xml:space="preserve">yes, there is someone like you.</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t xml:space="preserve">I 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the hill.</w:t>
      </w:r>
      <w:r>
        <w:t xml:space="preserve">”</w:t>
      </w:r>
      <w:r>
        <w:t xml:space="preserve"> </w:t>
      </w:r>
      <w:r>
        <w:t xml:space="preserve">The Red Queen replies:</w:t>
      </w:r>
      <w:r>
        <w:t xml:space="preserve"> </w:t>
      </w:r>
      <w:r>
        <w:t xml:space="preserve">“</w:t>
      </w:r>
      <w:r>
        <w:t xml:space="preserve">I could show you hills in comparison with which you’d call that a valley.</w:t>
      </w:r>
      <w:r>
        <w:t xml:space="preserve">”</w:t>
      </w:r>
      <w:r>
        <w:t xml:space="preserve"> </w:t>
      </w:r>
      <w:r>
        <w:t xml:space="preserve">Alice protests:</w:t>
      </w:r>
      <w:r>
        <w:t xml:space="preserve"> </w:t>
      </w:r>
      <w:r>
        <w:t xml:space="preserve">“</w:t>
      </w:r>
      <w:r>
        <w:t xml:space="preserve">a hill ca’n’t 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 have been under this tree the whole time! Everything is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4"/>
      </w:r>
      <w:r>
        <w:t xml:space="preserve">. 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 (Bayley 2009, 2010). Along these lines, mathematician Sanderson M. Smith has suggested that</w:t>
      </w:r>
      <w:r>
        <w:t xml:space="preserve"> </w:t>
      </w:r>
      <w:hyperlink r:id="rId95">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(Van Valen 1973). It thus seems reasonable to suggest that both antagonists must run (coevolve) as fast as they can to prevent extinction. Graham Bell repurposed the phrase to mean within-population oscillations in host and parasite genotypes (Bell 1982).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96"/>
      </w:r>
    </w:p>
    <w:bookmarkEnd w:id="97"/>
    <w:bookmarkStart w:id="103"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 (1975). Hamilton was reviewing the books by Williams (1975) and Ghiselin (1974) for the</w:t>
      </w:r>
      <w:r>
        <w:t xml:space="preserve"> </w:t>
      </w:r>
      <w:r>
        <w:rPr>
          <w:iCs/>
          <w:i/>
        </w:rPr>
        <w:t xml:space="preserve">Quarterly Review of Biology</w:t>
      </w:r>
      <w:r>
        <w:t xml:space="preserve">. Throughout the review, the reader can feel Hamilton’s frustration with their arguments. Towards the end, he makes this very abstract suggestion:</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 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 (Hamilton 2001).</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 (Levin 1975):</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 (1978)</w:t>
      </w:r>
      <w:r>
        <w:rPr>
          <w:rStyle w:val="FootnoteReference"/>
        </w:rPr>
        <w:footnoteReference w:id="98"/>
      </w:r>
      <w:r>
        <w:t xml:space="preserve">, Jaenike (1978)</w:t>
      </w:r>
      <w:r>
        <w:rPr>
          <w:rStyle w:val="FootnoteReference"/>
        </w:rPr>
        <w:footnoteReference w:id="99"/>
      </w:r>
      <w:r>
        <w:t xml:space="preserve">, and Lloyd (1980). In particular, Lloyd writes:</w:t>
      </w:r>
      <w:r>
        <w:t xml:space="preserve"> </w:t>
      </w:r>
      <w:r>
        <w:t xml:space="preserve">“</w:t>
      </w:r>
      <w:r>
        <w:t xml:space="preserve">… biological interactions are more likely than unpredictable physical conditions to provide the kind of relentless, repetitive change that is necessary for sexual parents to be selected because of the genetic diversity that sex engenders.</w:t>
      </w:r>
      <w:r>
        <w:t xml:space="preserve">”</w:t>
      </w:r>
    </w:p>
    <w:p>
      <w:pPr>
        <w:pStyle w:val="BodyText"/>
      </w:pP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0"/>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1"/>
      </w:r>
    </w:p>
    <w:p>
      <w:pPr>
        <w:pStyle w:val="BodyText"/>
      </w:pPr>
      <w:r>
        <w:t xml:space="preserve">In any case, looking back, it seems clear that the architects of the ecological hypotheses had two inter-related things in mind:</w:t>
      </w:r>
    </w:p>
    <w:p>
      <w:pPr>
        <w:numPr>
          <w:ilvl w:val="0"/>
          <w:numId w:val="1003"/>
        </w:numPr>
        <w:pStyle w:val="Compact"/>
      </w:pPr>
      <w:r>
        <w:t xml:space="preserve">How can we explain sex/rec, and</w:t>
      </w:r>
    </w:p>
    <w:p>
      <w:pPr>
        <w:numPr>
          <w:ilvl w:val="0"/>
          <w:numId w:val="1003"/>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 (review in Otto 2021). I will cover some special cases of this latter idea in</w:t>
      </w:r>
      <w:r>
        <w:t xml:space="preserve"> </w:t>
      </w:r>
      <w:hyperlink w:anchor="sec-chap6">
        <w:r>
          <w:rPr>
            <w:rStyle w:val="Hyperlink"/>
          </w:rPr>
          <w:t xml:space="preserve">Chapter 4</w:t>
        </w:r>
      </w:hyperlink>
      <w:r>
        <w:t xml:space="preserve">.</w:t>
      </w:r>
      <w:r>
        <w:rPr>
          <w:rStyle w:val="FootnoteReference"/>
        </w:rPr>
        <w:footnoteReference w:id="102"/>
      </w:r>
    </w:p>
    <w:bookmarkEnd w:id="103"/>
    <w:bookmarkEnd w:id="104"/>
    <w:bookmarkStart w:id="111" w:name="summary-1"/>
    <w:p>
      <w:pPr>
        <w:pStyle w:val="Heading2"/>
      </w:pPr>
      <w:r>
        <w:t xml:space="preserve">2.4 Summary</w:t>
      </w:r>
    </w:p>
    <w:p>
      <w:pPr>
        <w:numPr>
          <w:ilvl w:val="0"/>
          <w:numId w:val="1004"/>
        </w:numPr>
      </w:pPr>
      <w:r>
        <w:t xml:space="preserve">Three ecological hypotheses have been proposed to explain the persistence of cross-fertilization in the face of competition with uniparental reproductive strategies such as parthenogenesis or self-fertilization (following Bell 1982).</w:t>
      </w:r>
    </w:p>
    <w:p>
      <w:pPr>
        <w:numPr>
          <w:ilvl w:val="0"/>
          <w:numId w:val="1004"/>
        </w:numPr>
      </w:pPr>
      <w:r>
        <w:t xml:space="preserve">The Lottery Model is based on the possible advantages of diversifying offspring facing uncertain changes in the abiotic environment. Here selection is independent of both density and frequency.</w:t>
      </w:r>
    </w:p>
    <w:p>
      <w:pPr>
        <w:numPr>
          <w:ilvl w:val="0"/>
          <w:numId w:val="1004"/>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4"/>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4"/>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C:\Users\amazel\AppData\Local\Programs\Quarto\share\formats\docx\note.png" id="10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2.1. Levene’s model of multiple niche polymorphism.</w:t>
            </w:r>
          </w:p>
        </w:tc>
      </w:tr>
      <w:tr>
        <w:trPr>
          <w:cantSplit/>
        </w:trPr>
        <w:tc>
          <w:tcPr>
            <w:tcMar>
              <w:top w:w="108" w:type="dxa"/>
              <w:bottom w:w="108" w:type="dxa"/>
            </w:tcMar>
          </w:tcPr>
          <w:p>
            <w:pPr>
              <w:pStyle w:val="BodyText"/>
            </w:pPr>
            <w:pPr>
              <w:spacing w:before="16"/>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1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1"/>
                    <m:supHide m:val="1"/>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 allele will increase when rare (barring genetic drift) when |</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1. Similarly, the B allele will increase when rare when</w:t>
            </w:r>
          </w:p>
          <w:p>
            <w:pPr>
              <w:pStyle w:val="BodyText"/>
            </w:pPr>
            <m:oMathPara>
              <m:oMathParaPr>
                <m:jc m:val="center"/>
              </m:oMathParaPr>
              <m:oMath>
                <m:f>
                  <m:fPr>
                    <m:type m:val="bar"/>
                  </m:fPr>
                  <m:num>
                    <m:r>
                      <m:t>1</m:t>
                    </m:r>
                  </m:num>
                  <m:den>
                    <m:nary>
                      <m:naryPr>
                        <m:chr m:val="∑"/>
                        <m:limLoc m:val="undOvr"/>
                        <m:subHide m:val="1"/>
                        <m:supHide m:val="1"/>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when,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1.50</w:t>
                  </w:r>
                </w:p>
              </w:tc>
              <w:tc>
                <w:tcPr/>
                <w:p>
                  <w:pPr>
                    <w:pStyle w:val="Compact"/>
                    <w:jc w:val="left"/>
                  </w:pPr>
                  <m:oMath>
                    <m:sSub>
                      <m:e>
                        <m:r>
                          <m:t>W</m:t>
                        </m:r>
                      </m:e>
                      <m:sub>
                        <m:r>
                          <m:t>A</m:t>
                        </m:r>
                        <m:r>
                          <m:t>A</m:t>
                        </m:r>
                        <m:r>
                          <m:t>2</m:t>
                        </m:r>
                      </m:sub>
                    </m:sSub>
                  </m:oMath>
                  <w:r>
                    <w:t xml:space="preserve"> </w:t>
                  </w:r>
                  <w:r>
                    <w:t xml:space="preserve">= 0.67</w:t>
                  </w:r>
                </w:p>
              </w:tc>
              <w:tc>
                <w:tcPr/>
                <w:p>
                  <w:pPr>
                    <w:pStyle w:val="Compact"/>
                    <w:jc w:val="left"/>
                  </w:pPr>
                  <w:r>
                    <w:t xml:space="preserve">1.09</w:t>
                  </w:r>
                </w:p>
              </w:tc>
              <w:tc>
                <w:tcPr/>
                <w:p>
                  <w:pPr>
                    <w:pStyle w:val="Compact"/>
                    <w:jc w:val="left"/>
                  </w:pPr>
                  <w:r>
                    <w:t xml:space="preserve">0.93</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0.67</w:t>
                  </w:r>
                </w:p>
              </w:tc>
              <w:tc>
                <w:tcPr/>
                <w:p>
                  <w:pPr>
                    <w:pStyle w:val="Compact"/>
                    <w:jc w:val="left"/>
                  </w:pPr>
                  <m:oMath>
                    <m:sSub>
                      <m:e>
                        <m:r>
                          <m:t>W</m:t>
                        </m:r>
                      </m:e>
                      <m:sub>
                        <m:r>
                          <m:t>B</m:t>
                        </m:r>
                        <m:r>
                          <m:t>B</m:t>
                        </m:r>
                        <m:r>
                          <m:t>2</m:t>
                        </m:r>
                      </m:sub>
                    </m:sSub>
                  </m:oMath>
                  <w:r>
                    <w:t xml:space="preserve"> </w:t>
                  </w:r>
                  <w:r>
                    <w:t xml:space="preserve">= 1.50</w:t>
                  </w:r>
                </w:p>
              </w:tc>
              <w:tc>
                <w:tcPr/>
                <w:p>
                  <w:pPr>
                    <w:pStyle w:val="Compact"/>
                    <w:jc w:val="left"/>
                  </w:pPr>
                  <w:r>
                    <w:t xml:space="preserve">1.09</w:t>
                  </w:r>
                </w:p>
              </w:tc>
              <w:tc>
                <w:tcPr/>
                <w:p>
                  <w:pPr>
                    <w:pStyle w:val="Compact"/>
                    <w:jc w:val="left"/>
                  </w:pPr>
                  <w:r>
                    <w:t xml:space="preserve">0.93</w:t>
                  </w:r>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 (Prout 1968). However, Timothy Prout showed that a polymorphism could be stable, even if one allele is dominate, thus ruling out any kind of overdominance (Prout 1968). Let both the AA and AB genotypes have a fitness of 1 in both niches. Let the BB genotype have a fitness of 0.5 in niche 1 and a fitness of 1.67 in niche 2. Assuming as above that both patches are equally common, we get the following table.</w:t>
            </w:r>
          </w:p>
          <w:tbl>
            <w:tblPr>
              <w:tblStyle w:val="Table"/>
              <w:tblW w:type="pct" w:w="5000"/>
              <w:tblLook w:firstRow="1" w:lastRow="0" w:firstColumn="0" w:lastColumn="0" w:noHBand="0" w:noVBand="0" w:val="0020"/>
              <w:jc w:val="start"/>
            </w:tblPr>
            <w:tblGrid>
              <w:gridCol w:w="950"/>
              <w:gridCol w:w="2111"/>
              <w:gridCol w:w="2217"/>
              <w:gridCol w:w="1161"/>
              <w:gridCol w:w="1478"/>
            </w:tblGrid>
            <w:tr>
              <w:trPr>
                <w:tblHeader w:val="true"/>
              </w:trPr>
              <w:tc>
                <w:tcPr/>
                <w:p>
                  <w:pPr>
                    <w:pStyle w:val="Compact"/>
                    <w:jc w:val="left"/>
                  </w:pPr>
                  <w:r>
                    <w:t xml:space="preserve">Genotype</w:t>
                  </w:r>
                </w:p>
              </w:tc>
              <w:tc>
                <w:tcPr/>
                <w:p>
                  <w:pPr>
                    <w:pStyle w:val="Compact"/>
                    <w:jc w:val="left"/>
                  </w:pPr>
                  <w:r>
                    <w:rPr>
                      <w:bCs/>
                      <w:b/>
                    </w:rPr>
                    <w:t xml:space="preserve">Fitness Niche 1</w:t>
                  </w:r>
                </w:p>
              </w:tc>
              <w:tc>
                <w:tcPr/>
                <w:p>
                  <w:pPr>
                    <w:pStyle w:val="Compact"/>
                    <w:jc w:val="left"/>
                  </w:pPr>
                  <w:r>
                    <w:rPr>
                      <w:bCs/>
                      <w:b/>
                    </w:rPr>
                    <w:t xml:space="preserve">Fitness Niche 2</w:t>
                  </w:r>
                </w:p>
              </w:tc>
              <w:tc>
                <w:tcPr/>
                <w:p>
                  <w:pPr>
                    <w:pStyle w:val="Compact"/>
                    <w:jc w:val="left"/>
                  </w:pPr>
                  <w:r>
                    <w:rPr>
                      <w:bCs/>
                      <w:b/>
                    </w:rPr>
                    <w:t xml:space="preserve">Arithmetic mean</w:t>
                  </w:r>
                </w:p>
              </w:tc>
              <w:tc>
                <w:tcPr/>
                <w:p>
                  <w:pPr>
                    <w:pStyle w:val="Compact"/>
                    <w:jc w:val="left"/>
                  </w:pPr>
                  <w:r>
                    <w:rPr>
                      <w:bCs/>
                      <w:b/>
                    </w:rPr>
                    <w:t xml:space="preserve">Harmonic mean</w:t>
                  </w:r>
                </w:p>
              </w:tc>
            </w:tr>
            <w:tr>
              <w:tc>
                <w:tcPr/>
                <w:p>
                  <w:pPr>
                    <w:pStyle w:val="Compact"/>
                    <w:jc w:val="left"/>
                  </w:pPr>
                  <w:r>
                    <w:rPr>
                      <w:bCs/>
                      <w:b/>
                    </w:rPr>
                    <w:t xml:space="preserve">AA</w:t>
                  </w:r>
                </w:p>
              </w:tc>
              <w:tc>
                <w:tcPr/>
                <w:p>
                  <w:pPr>
                    <w:pStyle w:val="Compact"/>
                    <w:jc w:val="left"/>
                  </w:pPr>
                  <m:oMath>
                    <m:sSub>
                      <m:e>
                        <m:r>
                          <m:t>W</m:t>
                        </m:r>
                      </m:e>
                      <m:sub>
                        <m:r>
                          <m:t>A</m:t>
                        </m:r>
                        <m:r>
                          <m:t>A</m:t>
                        </m:r>
                        <m:r>
                          <m:t>1</m:t>
                        </m:r>
                      </m:sub>
                    </m:sSub>
                  </m:oMath>
                  <w:r>
                    <w:t xml:space="preserve"> </w:t>
                  </w:r>
                  <w:r>
                    <w:t xml:space="preserve">= 1.00</w:t>
                  </w:r>
                </w:p>
              </w:tc>
              <w:tc>
                <w:tcPr/>
                <w:p>
                  <w:pPr>
                    <w:pStyle w:val="Compact"/>
                    <w:jc w:val="left"/>
                  </w:pPr>
                  <m:oMath>
                    <m:sSub>
                      <m:e>
                        <m:r>
                          <m:t>W</m:t>
                        </m:r>
                      </m:e>
                      <m:sub>
                        <m:r>
                          <m:t>A</m:t>
                        </m:r>
                        <m:r>
                          <m:t>A</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AB</w:t>
                  </w:r>
                </w:p>
              </w:tc>
              <w:tc>
                <w:tcPr/>
                <w:p>
                  <w:pPr>
                    <w:pStyle w:val="Compact"/>
                    <w:jc w:val="left"/>
                  </w:pPr>
                  <m:oMath>
                    <m:sSub>
                      <m:e>
                        <m:r>
                          <m:t>W</m:t>
                        </m:r>
                      </m:e>
                      <m:sub>
                        <m:r>
                          <m:t>A</m:t>
                        </m:r>
                        <m:r>
                          <m:t>B</m:t>
                        </m:r>
                        <m:r>
                          <m:t>1</m:t>
                        </m:r>
                      </m:sub>
                    </m:sSub>
                  </m:oMath>
                  <w:r>
                    <w:t xml:space="preserve"> </w:t>
                  </w:r>
                  <w:r>
                    <w:t xml:space="preserve">= 1.00</w:t>
                  </w:r>
                </w:p>
              </w:tc>
              <w:tc>
                <w:tcPr/>
                <w:p>
                  <w:pPr>
                    <w:pStyle w:val="Compact"/>
                    <w:jc w:val="left"/>
                  </w:pPr>
                  <m:oMath>
                    <m:sSub>
                      <m:e>
                        <m:r>
                          <m:t>W</m:t>
                        </m:r>
                      </m:e>
                      <m:sub>
                        <m:r>
                          <m:t>A</m:t>
                        </m:r>
                        <m:r>
                          <m:t>B</m:t>
                        </m:r>
                        <m:r>
                          <m:t>2</m:t>
                        </m:r>
                      </m:sub>
                    </m:sSub>
                  </m:oMath>
                  <w:r>
                    <w:t xml:space="preserve"> </w:t>
                  </w:r>
                  <w:r>
                    <w:t xml:space="preserve">= 1.00</w:t>
                  </w:r>
                </w:p>
              </w:tc>
              <w:tc>
                <w:tcPr/>
                <w:p>
                  <w:pPr>
                    <w:pStyle w:val="Compact"/>
                    <w:jc w:val="left"/>
                  </w:pPr>
                  <w:r>
                    <w:t xml:space="preserve">1.00</w:t>
                  </w:r>
                </w:p>
              </w:tc>
              <w:tc>
                <w:tcPr/>
                <w:p>
                  <w:pPr>
                    <w:pStyle w:val="Compact"/>
                    <w:jc w:val="left"/>
                  </w:pPr>
                  <w:r>
                    <w:t xml:space="preserve">1.00</w:t>
                  </w:r>
                </w:p>
              </w:tc>
            </w:tr>
            <w:tr>
              <w:tc>
                <w:tcPr/>
                <w:p>
                  <w:pPr>
                    <w:pStyle w:val="Compact"/>
                    <w:jc w:val="left"/>
                  </w:pPr>
                  <w:r>
                    <w:rPr>
                      <w:bCs/>
                      <w:b/>
                    </w:rPr>
                    <w:t xml:space="preserve">BB</w:t>
                  </w:r>
                </w:p>
              </w:tc>
              <w:tc>
                <w:tcPr/>
                <w:p>
                  <w:pPr>
                    <w:pStyle w:val="Compact"/>
                    <w:jc w:val="left"/>
                  </w:pPr>
                  <m:oMath>
                    <m:sSub>
                      <m:e>
                        <m:r>
                          <m:t>W</m:t>
                        </m:r>
                      </m:e>
                      <m:sub>
                        <m:r>
                          <m:t>B</m:t>
                        </m:r>
                        <m:r>
                          <m:t>B</m:t>
                        </m:r>
                        <m:r>
                          <m:t>1</m:t>
                        </m:r>
                      </m:sub>
                    </m:sSub>
                  </m:oMath>
                  <w:r>
                    <w:t xml:space="preserve"> </w:t>
                  </w:r>
                  <w:r>
                    <w:t xml:space="preserve">= 0.50</w:t>
                  </w:r>
                </w:p>
              </w:tc>
              <w:tc>
                <w:tcPr/>
                <w:p>
                  <w:pPr>
                    <w:pStyle w:val="Compact"/>
                    <w:jc w:val="left"/>
                  </w:pPr>
                  <m:oMath>
                    <m:sSub>
                      <m:e>
                        <m:r>
                          <m:t>W</m:t>
                        </m:r>
                      </m:e>
                      <m:sub>
                        <m:r>
                          <m:t>B</m:t>
                        </m:r>
                        <m:r>
                          <m:t>B</m:t>
                        </m:r>
                        <m:r>
                          <m:t>2</m:t>
                        </m:r>
                      </m:sub>
                    </m:sSub>
                  </m:oMath>
                  <w:r>
                    <w:t xml:space="preserve"> </w:t>
                  </w:r>
                  <w:r>
                    <w:t xml:space="preserve">= 1.67</w:t>
                  </w:r>
                </w:p>
              </w:tc>
              <w:tc>
                <w:tcPr/>
                <w:p>
                  <w:pPr>
                    <w:pStyle w:val="Compact"/>
                    <w:jc w:val="left"/>
                  </w:pPr>
                  <w:r>
                    <w:t xml:space="preserve">1.09</w:t>
                  </w:r>
                </w:p>
              </w:tc>
              <w:tc>
                <w:tcPr/>
                <w:p>
                  <w:pPr>
                    <w:pStyle w:val="Compact"/>
                    <w:jc w:val="left"/>
                  </w:pPr>
                  <w:r>
                    <w:t xml:space="preserve">0.77</w:t>
                  </w:r>
                </w:p>
              </w:tc>
            </w:tr>
          </w:tbl>
          <w:p>
            <w:pPr>
              <w:pStyle w:val="BodyText"/>
            </w:pPr>
            <w:r>
              <w:t xml:space="preserve">Prout showed that there would be a stable multiple niche polymorphism, even under complete dominance, provided that the arithmetic mean fitness for BB is greater than 1, and that the harmonic mean fitness for the BB genotype is less than 1. So, clearly, overdominance for harmonic mean fitness is not required for a stable polymorphism.</w:t>
            </w:r>
            <w:r>
              <w:rPr>
                <w:rStyle w:val="FootnoteReference"/>
              </w:rPr>
              <w:footnoteReference w:id="107"/>
            </w:r>
          </w:p>
          <w:p>
            <w:pPr>
              <w:pStyle w:val="BodyText"/>
            </w:pPr>
            <w:r>
              <w:t xml:space="preserve">The plot below shows</w:t>
            </w:r>
            <w:r>
              <w:t xml:space="preserve"> </w:t>
            </w:r>
            <m:oMath>
              <m:r>
                <m:rPr>
                  <m:sty m:val="p"/>
                </m:rP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rPr>
                  <m:sty m:val="p"/>
                </m:rPr>
                <m:t>Δ</m:t>
              </m:r>
              <m:r>
                <m:t>q</m:t>
              </m:r>
            </m:oMath>
            <w:r>
              <w:t xml:space="preserve"> </w:t>
            </w:r>
            <w:r>
              <w:t xml:space="preserve">is positive when</w:t>
            </w:r>
            <w:r>
              <w:t xml:space="preserve"> </w:t>
            </w:r>
            <m:oMath>
              <m:r>
                <m:t>q</m:t>
              </m:r>
            </m:oMath>
            <w:r>
              <w:t xml:space="preserve"> </w:t>
            </w:r>
            <w:r>
              <w:t xml:space="preserve">is near zero, and that</w:t>
            </w:r>
            <w:r>
              <w:t xml:space="preserve"> </w:t>
            </w:r>
            <m:oMath>
              <m:r>
                <m:rPr>
                  <m:sty m:val="p"/>
                </m:rPr>
                <m:t>Δ</m:t>
              </m:r>
              <m:r>
                <m:t>q</m:t>
              </m:r>
            </m:oMath>
            <w:r>
              <w:t xml:space="preserve"> </w:t>
            </w:r>
            <w:r>
              <w:t xml:space="preserve">is negative when</w:t>
            </w:r>
            <w:r>
              <w:t xml:space="preserve"> </w:t>
            </w:r>
            <m:oMath>
              <m:r>
                <m:t>q</m:t>
              </m:r>
            </m:oMath>
            <w:r>
              <w:t xml:space="preserve"> </w:t>
            </w:r>
            <w:r>
              <w:t xml:space="preserve">is near 1. There is an interior equilibrium near</w:t>
            </w:r>
            <w:r>
              <w:t xml:space="preserve"> </w:t>
            </w:r>
            <m:oMath>
              <m:r>
                <m:t>q</m:t>
              </m:r>
              <m:r>
                <m:rPr>
                  <m:sty m:val="p"/>
                </m:rPr>
                <m:t>=</m:t>
              </m:r>
              <m:r>
                <m:t>0.5</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990850" cy="1714500"/>
                        <wp:effectExtent b="0" l="0" r="0" t="0"/>
                        <wp:docPr descr="" title="" id="109" name="Picture"/>
                        <a:graphic>
                          <a:graphicData uri="http://schemas.openxmlformats.org/drawingml/2006/picture">
                            <pic:pic>
                              <pic:nvPicPr>
                                <pic:cNvPr descr="images/fig2-5.jpg" id="110" name="Picture"/>
                                <pic:cNvPicPr>
                                  <a:picLocks noChangeArrowheads="1" noChangeAspect="1"/>
                                </pic:cNvPicPr>
                              </pic:nvPicPr>
                              <pic:blipFill>
                                <a:blip r:embed="rId108"/>
                                <a:stretch>
                                  <a:fillRect/>
                                </a:stretch>
                              </pic:blipFill>
                              <pic:spPr bwMode="auto">
                                <a:xfrm>
                                  <a:off x="0" y="0"/>
                                  <a:ext cx="2990850" cy="1714500"/>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11"/>
    <w:bookmarkEnd w:id="112"/>
    <w:bookmarkStart w:id="164" w:name="contrasting-the-ecological-hypotheses"/>
    <w:p>
      <w:pPr>
        <w:pStyle w:val="Heading1"/>
      </w:pPr>
      <w:r>
        <w:t xml:space="preserve">3. Contrasting the Ecological Hypotheses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34895" cy="2584704"/>
                  <wp:effectExtent b="0" l="0" r="0" t="0"/>
                  <wp:docPr descr="" title="" id="114" name="Picture"/>
                  <a:graphic>
                    <a:graphicData uri="http://schemas.openxmlformats.org/drawingml/2006/picture">
                      <pic:pic>
                        <pic:nvPicPr>
                          <pic:cNvPr descr="images/fig3-1.jpeg" id="115" name="Picture"/>
                          <pic:cNvPicPr>
                            <a:picLocks noChangeArrowheads="1" noChangeAspect="1"/>
                          </pic:cNvPicPr>
                        </pic:nvPicPr>
                        <pic:blipFill>
                          <a:blip r:embed="rId113"/>
                          <a:stretch>
                            <a:fillRect/>
                          </a:stretch>
                        </pic:blipFill>
                        <pic:spPr bwMode="auto">
                          <a:xfrm>
                            <a:off x="0" y="0"/>
                            <a:ext cx="1834895" cy="25847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16"/>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 (Lively 1986c).</w:t>
      </w:r>
      <w:r>
        <w:rPr>
          <w:rStyle w:val="FootnoteReference"/>
        </w:rPr>
        <w:footnoteReference w:id="117"/>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 (Lively 1986b).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 (Lively 1986b). Hence there is a trade-off. Taken together, the results suggested that plastic development was favored by natural selection to survive in the high-predation zones (</w:t>
      </w:r>
      <w:hyperlink w:anchor="callout-3">
        <w:r>
          <w:rPr>
            <w:rStyle w:val="Hyperlink"/>
          </w:rPr>
          <w:t xml:space="preserve">Box 3.1</w:t>
        </w:r>
      </w:hyperlink>
      <w:r>
        <w:t xml:space="preserve">). I would later come to think of adaptive plasticity as a type of variation strategy. Sexual reproduction can also be seen as a type of variation strategy (Lloyd 1984). And I was very fortunate to be able to study sexual reproduction after moving to New Zealand.</w:t>
      </w:r>
    </w:p>
    <w:tbl>
      <w:tblPr>
        <w:tblStyle w:val="Table"/>
        <w:tblW w:type="pct" w:w="5000"/>
        <w:tblLook w:firstRow="0" w:lastRow="0" w:firstColumn="0" w:lastColumn="0" w:noHBand="0" w:noVBand="0" w:val="0000"/>
        <w:jc w:val="start"/>
      </w:tblPr>
      <w:tblGrid>
        <w:gridCol w:w="7920"/>
      </w:tblGrid>
      <w:tr>
        <w:tc>
          <w:tcPr/>
          <w:bookmarkStart w:id="121" w:name="fig-3-2"/>
          <w:p>
            <w:pPr>
              <w:jc w:val="center"/>
            </w:pPr>
            <w:r>
              <w:drawing>
                <wp:inline>
                  <wp:extent cx="2377440" cy="3076687"/>
                  <wp:effectExtent b="0" l="0" r="0" t="0"/>
                  <wp:docPr descr="" title="" id="119" name="Picture"/>
                  <a:graphic>
                    <a:graphicData uri="http://schemas.openxmlformats.org/drawingml/2006/picture">
                      <pic:pic>
                        <pic:nvPicPr>
                          <pic:cNvPr descr="images/fig3-2.jpeg" id="120" name="Picture"/>
                          <pic:cNvPicPr>
                            <a:picLocks noChangeArrowheads="1" noChangeAspect="1"/>
                          </pic:cNvPicPr>
                        </pic:nvPicPr>
                        <pic:blipFill>
                          <a:blip r:embed="rId118"/>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5" w:name="fig-3-3"/>
          <w:p>
            <w:pPr>
              <w:jc w:val="center"/>
            </w:pPr>
            <w:r>
              <w:drawing>
                <wp:inline>
                  <wp:extent cx="2377440" cy="2657717"/>
                  <wp:effectExtent b="0" l="0" r="0" t="0"/>
                  <wp:docPr descr="" title="" id="123" name="Picture"/>
                  <a:graphic>
                    <a:graphicData uri="http://schemas.openxmlformats.org/drawingml/2006/picture">
                      <pic:pic>
                        <pic:nvPicPr>
                          <pic:cNvPr descr="images/fig3-3.jpeg" id="124" name="Picture"/>
                          <pic:cNvPicPr>
                            <a:picLocks noChangeArrowheads="1" noChangeAspect="1"/>
                          </pic:cNvPicPr>
                        </pic:nvPicPr>
                        <pic:blipFill>
                          <a:blip r:embed="rId122"/>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25"/>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 David Lloyd. I did not have a job, but Lynda had a small stipend from the Fulbright Foundation. By the time I moved to New Zealand, we had only twelve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NZ University Grants Committee. I had applied to work on the evolution of facultatively parthenogenetic nematodes, which represented a combination of my interests in developmental plasticity and sex.</w:t>
      </w:r>
      <w:r>
        <w:rPr>
          <w:rStyle w:val="FootnoteReference"/>
        </w:rPr>
        <w:footnoteReference w:id="126"/>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 Clark. To my mind, the value of Clark’s work remains underestimated in general, but it had a big influence on me (e.g., Clark 1976).</w:t>
      </w:r>
    </w:p>
    <w:p>
      <w:pPr>
        <w:pStyle w:val="BodyText"/>
      </w:pPr>
      <w:r>
        <w:t xml:space="preserve">I began looking for natural systems to study facultative parthenogenesis.</w:t>
      </w:r>
      <w:r>
        <w:rPr>
          <w:rStyle w:val="FootnoteReference"/>
        </w:rPr>
        <w:footnoteReference w:id="127"/>
      </w:r>
      <w:r>
        <w:t xml:space="preserve"> </w:t>
      </w:r>
      <w:r>
        <w:t xml:space="preserve">To this end, I was reading Graham Bell’s incredible book on the evolution and genetics of sexual reproduction (Bell 1982). Searching the index, I found a reference to</w:t>
      </w:r>
      <w:r>
        <w:t xml:space="preserve"> </w:t>
      </w:r>
      <w:r>
        <w:rPr>
          <w:iCs/>
          <w:i/>
        </w:rPr>
        <w:t xml:space="preserve">Potamopyrgus antipodarum</w:t>
      </w:r>
      <w:r>
        <w:t xml:space="preserve">, a New Zealand freshwater snail. Bell had cited Mike Winterbourn’s dissertation work on this snail (Winterbourn 1970). Luckily for me, Prof.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28"/>
      </w:r>
    </w:p>
    <w:bookmarkStart w:id="137"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 (Chamberlin 1890, Platt 1964).</w:t>
      </w:r>
      <w:r>
        <w:rPr>
          <w:rStyle w:val="FootnoteReference"/>
        </w:rPr>
        <w:footnoteReference w:id="129"/>
      </w:r>
      <w:r>
        <w:t xml:space="preserve"> </w:t>
      </w:r>
      <w:r>
        <w:t xml:space="preserve">The idea is that multiple hypotheses should be simultaneously considered. Then, to the extent possible, the alternatives are forced to make different a priori 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 (Platt 1964). Thus, the focus is on falsifying one or more of the alternatives, rather than proving one of them (Popper 1959). Graham Bell used this same method to contrast the ecological models for sex by using data on the geographic distribution of asexual individuals across many plant and animal taxa (Bell 1982).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Pr>
      <w:tblGrid>
        <w:gridCol w:w="7920"/>
      </w:tblGrid>
      <w:tr>
        <w:tc>
          <w:tcPr/>
          <w:bookmarkStart w:id="134" w:name="fig-3-4"/>
          <w:p>
            <w:pPr>
              <w:jc w:val="center"/>
            </w:pPr>
            <w:r>
              <w:drawing>
                <wp:inline>
                  <wp:extent cx="5943600" cy="2812617"/>
                  <wp:effectExtent b="0" l="0" r="0" t="0"/>
                  <wp:docPr descr="" title="" id="131" name="Picture"/>
                  <a:graphic>
                    <a:graphicData uri="http://schemas.openxmlformats.org/drawingml/2006/picture">
                      <pic:pic>
                        <pic:nvPicPr>
                          <pic:cNvPr descr="images/fig3-4.png" id="132" name="Picture"/>
                          <pic:cNvPicPr>
                            <a:picLocks noChangeArrowheads="1" noChangeAspect="1"/>
                          </pic:cNvPicPr>
                        </pic:nvPicPr>
                        <pic:blipFill>
                          <a:blip r:embed="rId130"/>
                          <a:stretch>
                            <a:fillRect/>
                          </a:stretch>
                        </pic:blipFill>
                        <pic:spPr bwMode="auto">
                          <a:xfrm>
                            <a:off x="0" y="0"/>
                            <a:ext cx="5943600" cy="281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 (Phillips and Lambert 1990).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 (Lively and Johnson 1994).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 Bart Zijlstra /</w:t>
            </w:r>
            <w:r>
              <w:t xml:space="preserve"> </w:t>
            </w:r>
            <w:hyperlink r:id="rId133">
              <w:r>
                <w:rPr>
                  <w:rStyle w:val="Hyperlink"/>
                </w:rPr>
                <w:t xml:space="preserve">www.bartzijlstra.com</w:t>
              </w:r>
            </w:hyperlink>
            <w:r>
              <w:t xml:space="preserve">.</w:t>
            </w:r>
          </w:p>
          <w:bookmarkEnd w:id="134"/>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 (Winterbourn et al. 1981).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 (1983).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36"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35"/>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36"/>
    <w:bookmarkEnd w:id="137"/>
    <w:bookmarkStart w:id="15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 (1973) described. I reasoned that the frequency of males in a population must be strongly correlated with the frequency of sexual females simply because males are only produced by sexual females.</w:t>
      </w:r>
      <w:r>
        <w:rPr>
          <w:rStyle w:val="FootnoteReference"/>
        </w:rPr>
        <w:footnoteReference w:id="138"/>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(Lively 1987).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(Lively 1987).</w:t>
      </w:r>
      <w:r>
        <w:rPr>
          <w:rStyle w:val="FootnoteReference"/>
        </w:rPr>
        <w:footnoteReference w:id="139"/>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 (Burt and Bell 1987).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0"/>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 (1987) 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 (1980) and others (e.g., Glesener and Tilman 1978, Bell 1982).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 (Gould 1991, Stolley 1991).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 (1966) was correct when he wrote, “Hence our truth is the intersection of independent lies.</w:t>
      </w:r>
      <w:r>
        <w:rPr>
          <w:rStyle w:val="FootnoteReference"/>
        </w:rPr>
        <w:footnoteReference w:id="141"/>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FirstParagraph"/>
      </w:pPr>
      <w:r>
        <w:t xml:space="preserve">In any case, my view by 1987 was that the Red Queen Hypothesis merited serious consideration.</w:t>
      </w:r>
      <w:r>
        <w:rPr>
          <w:rStyle w:val="FootnoteReference"/>
        </w:rPr>
        <w:footnoteReference w:id="142"/>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 (Anderson and May 1979, May and Anderson 1979). Second, there might be more sex in dense populations because asexual reproduction is favored in sparse populations as a way for individuals to ensure reproduction even in the absence of conspecific mates (Tomlinson 1966, Gerritsen 1980, Lloyd 1980).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4">
        <w:r>
          <w:rPr>
            <w:rStyle w:val="Hyperlink"/>
          </w:rPr>
          <w:t xml:space="preserve">Figure 3.3</w:t>
        </w:r>
      </w:hyperlink>
      <w:r>
        <w:t xml:space="preserve"> </w:t>
      </w:r>
      <w:r>
        <w:t xml:space="preserve">&amp;</w:t>
      </w:r>
      <w:r>
        <w:t xml:space="preserve"> </w:t>
      </w:r>
      <w:hyperlink w:anchor="fig-3-5">
        <w:r>
          <w:rPr>
            <w:rStyle w:val="Hyperlink"/>
          </w:rPr>
          <w:t xml:space="preserve">Figure 3.4</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 (Lively 1992). Finally, the previously observed positive relationship between sex and infection held (</w:t>
      </w:r>
      <w:hyperlink w:anchor="fig-3-4">
        <w:r>
          <w:rPr>
            <w:rStyle w:val="Hyperlink"/>
          </w:rPr>
          <w:t xml:space="preserve">Figure 3.3</w:t>
        </w:r>
      </w:hyperlink>
      <w:r>
        <w:t xml:space="preserve">).</w:t>
      </w:r>
      <w:r>
        <w:rPr>
          <w:rStyle w:val="FootnoteReference"/>
        </w:rPr>
        <w:footnoteReference w:id="143"/>
      </w:r>
      <w:r>
        <w:t xml:space="preserve"> </w:t>
      </w:r>
      <w:r>
        <w:t xml:space="preserve">The Red Queen was still in the running.</w:t>
      </w:r>
    </w:p>
    <w:tbl>
      <w:tblPr>
        <w:tblStyle w:val="Table"/>
        <w:tblW w:type="pct" w:w="5000"/>
        <w:tblLook w:firstRow="0" w:lastRow="0" w:firstColumn="0" w:lastColumn="0" w:noHBand="0" w:noVBand="0" w:val="0000"/>
        <w:jc w:val="start"/>
      </w:tblPr>
      <w:tblGrid>
        <w:gridCol w:w="7920"/>
      </w:tblGrid>
      <w:tr>
        <w:tc>
          <w:tcPr/>
          <w:bookmarkStart w:id="147" w:name="fig-3-5"/>
          <w:p>
            <w:pPr>
              <w:jc w:val="center"/>
            </w:pPr>
            <w:r>
              <w:drawing>
                <wp:inline>
                  <wp:extent cx="5772150" cy="6019800"/>
                  <wp:effectExtent b="0" l="0" r="0" t="0"/>
                  <wp:docPr descr="" title="" id="145" name="Picture"/>
                  <a:graphic>
                    <a:graphicData uri="http://schemas.openxmlformats.org/drawingml/2006/picture">
                      <pic:pic>
                        <pic:nvPicPr>
                          <pic:cNvPr descr="images/fig3-5.JPG" id="146" name="Picture"/>
                          <pic:cNvPicPr>
                            <a:picLocks noChangeArrowheads="1" noChangeAspect="1"/>
                          </pic:cNvPicPr>
                        </pic:nvPicPr>
                        <pic:blipFill>
                          <a:blip r:embed="rId144"/>
                          <a:stretch>
                            <a:fillRect/>
                          </a:stretch>
                        </pic:blipFill>
                        <pic:spPr bwMode="auto">
                          <a:xfrm>
                            <a:off x="0" y="0"/>
                            <a:ext cx="5772150" cy="6019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 (Lively 1987) plus two river samples. Gray triangles represent lake populations (Lively 1987). Black triangles represent lake and tarn populations (Lively 1992). The correlation is positive and statistically significant.</w:t>
            </w:r>
          </w:p>
          <w:bookmarkEnd w:id="14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 (Lively 2001). For example, infected snails might die at a faster rate than uninfected snails because of the energetic demands of infection. In addition, infected snails are more likely than uninfected snails to forage after sunrise, which exposes them to predation by their final hosts, ducks (Levri and Lively 1996, Levri and Fisher 2000). Prevalence of infection might also fluctuate over time as the genetic diversity in the host population changes and/or as the final hosts move among locations. We now know that the prevalence of infection varies greatly among years and among sites in the same lake (Gibson et al. 2016). Thus, detecting a significant correlation between sex and infection could be dicey, even if parasites were solely responsible for the short-term maintenance of sex in mixed populations.</w:t>
      </w:r>
      <w:r>
        <w:rPr>
          <w:rStyle w:val="FootnoteReference"/>
        </w:rPr>
        <w:footnoteReference w:id="14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49"/>
      </w:r>
      <w:r>
        <w:t xml:space="preserve"> </w:t>
      </w:r>
      <w:r>
        <w:t xml:space="preserve">We resampled all 20 lakes 10 – 15 years after my original samples. We found that prevalence of infection was highly correlated between sample periods as was male frequency (Lively and Jokela 2002).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51"/>
      </w:r>
      <w:r>
        <w:t xml:space="preserve"> </w:t>
      </w:r>
      <w:r>
        <w:t xml:space="preserve">But the results do imply that the Red Queen Hypothesis was (and still is) worthy of further study.</w:t>
      </w:r>
    </w:p>
    <w:bookmarkEnd w:id="152"/>
    <w:bookmarkStart w:id="163" w:name="summary-2"/>
    <w:p>
      <w:pPr>
        <w:pStyle w:val="Heading2"/>
      </w:pPr>
      <w:r>
        <w:t xml:space="preserve">3.3 Summary</w:t>
      </w:r>
    </w:p>
    <w:p>
      <w:pPr>
        <w:numPr>
          <w:ilvl w:val="0"/>
          <w:numId w:val="1005"/>
        </w:numPr>
      </w:pPr>
      <w:r>
        <w:t xml:space="preserve">The co-occurrence of discrete morphs is inherently interesting to evolutionary biologists. Genetic diversity is also inherently interesting.</w:t>
      </w:r>
    </w:p>
    <w:p>
      <w:pPr>
        <w:numPr>
          <w:ilvl w:val="0"/>
          <w:numId w:val="1005"/>
        </w:numPr>
      </w:pPr>
      <w:r>
        <w:t xml:space="preserve">The New Zealand freshwater snail,</w:t>
      </w:r>
      <w:r>
        <w:t xml:space="preserve"> </w:t>
      </w:r>
      <w:r>
        <w:rPr>
          <w:iCs/>
          <w:i/>
        </w:rPr>
        <w:t xml:space="preserve">Potamopyrgus antipodarum</w:t>
      </w:r>
      <w:r>
        <w:t xml:space="preserve">, some populations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5"/>
        </w:numPr>
      </w:pPr>
      <w:r>
        <w:t xml:space="preserve">The prevalence of sterilizing trematode larvae is a better predictor sexual reproduction in the snail than habitat (lakes vs. streams), thus favoring the Red Queen Hypothesis over the alternative ecological hypotheses.</w:t>
      </w:r>
    </w:p>
    <w:p>
      <w:pPr>
        <w:numPr>
          <w:ilvl w:val="0"/>
          <w:numId w:val="1005"/>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tbl>
      <w:tblPr>
        <w:tblStyle w:val="Table"/>
        <w:tblW w:type="pct" w:w="5000"/>
        <w:tblLook w:firstRow="0" w:lastRow="0" w:firstColumn="0" w:lastColumn="0" w:noHBand="0" w:noVBand="0" w:val="0000"/>
        <w:jc w:val="start"/>
      </w:tblPr>
      <w:tblGrid>
        <w:gridCol w:w="7920"/>
      </w:tblGrid>
      <w:tr>
        <w:tc>
          <w:tcPr/>
          <w:bookmarkStart w:id="156" w:name="fig-3-6"/>
          <w:p>
            <w:pPr>
              <w:jc w:val="center"/>
            </w:pPr>
            <w:r>
              <w:drawing>
                <wp:inline>
                  <wp:extent cx="4895850" cy="5819775"/>
                  <wp:effectExtent b="0" l="0" r="0" t="0"/>
                  <wp:docPr descr="" title="" id="154" name="Picture"/>
                  <a:graphic>
                    <a:graphicData uri="http://schemas.openxmlformats.org/drawingml/2006/picture">
                      <pic:pic>
                        <pic:nvPicPr>
                          <pic:cNvPr descr="images/fig3-6.JPG" id="155" name="Picture"/>
                          <pic:cNvPicPr>
                            <a:picLocks noChangeArrowheads="1" noChangeAspect="1"/>
                          </pic:cNvPicPr>
                        </pic:nvPicPr>
                        <pic:blipFill>
                          <a:blip r:embed="rId153"/>
                          <a:stretch>
                            <a:fillRect/>
                          </a:stretch>
                        </pic:blipFill>
                        <pic:spPr bwMode="auto">
                          <a:xfrm>
                            <a:off x="0" y="0"/>
                            <a:ext cx="4895850" cy="5819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 (Redrawn from (Lively 1992).)</w:t>
            </w:r>
          </w:p>
          <w:bookmarkEnd w:id="156"/>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C:\Users\amazel\AppData\Local\Programs\Quarto\share\formats\docx\note.png" id="158"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3.1.</w:t>
            </w:r>
          </w:p>
        </w:tc>
      </w:tr>
      <w:tr>
        <w:trPr>
          <w:cantSplit/>
        </w:trPr>
        <w:tc>
          <w:tcPr>
            <w:tcMar>
              <w:top w:w="108" w:type="dxa"/>
              <w:bottom w:w="108" w:type="dxa"/>
            </w:tcMar>
          </w:tcPr>
          <w:p>
            <w:pPr>
              <w:pStyle w:val="BodyText"/>
            </w:pPr>
            <w:pPr>
              <w:spacing w:before="16"/>
            </w:pPr>
            <w:r>
              <w:t xml:space="preserve">As part of my dissertation research, I constructed a game-theoretic model of selection on three strategies:</w:t>
            </w:r>
          </w:p>
          <w:p>
            <w:pPr>
              <w:numPr>
                <w:ilvl w:val="0"/>
                <w:numId w:val="1006"/>
              </w:numPr>
            </w:pPr>
            <w:r>
              <w:t xml:space="preserve">canalized development into a high-fecundity morph,</w:t>
            </w:r>
          </w:p>
          <w:p>
            <w:pPr>
              <w:numPr>
                <w:ilvl w:val="0"/>
                <w:numId w:val="1006"/>
              </w:numPr>
            </w:pPr>
            <w:r>
              <w:t xml:space="preserve">canalized development to a low-fecundity, predation-resistant morph,</w:t>
            </w:r>
          </w:p>
          <w:p>
            <w:pPr>
              <w:numPr>
                <w:ilvl w:val="0"/>
                <w:numId w:val="1006"/>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 (Lively 1986a).</w:t>
            </w:r>
          </w:p>
          <w:p>
            <w:pPr>
              <w:pStyle w:val="BodyText"/>
            </w:pPr>
            <w:r>
              <w:t xml:space="preserve">An example of the output is shown below. The results show that any of the three strategies can be an ESS in part of the parameter space.</w:t>
            </w:r>
            <w:r>
              <w:rPr>
                <w:rStyle w:val="FootnoteReference"/>
              </w:rPr>
              <w:footnoteReference w:id="159"/>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 (Levinton 1988). Also note that the conditions for a genetic polymorphism are relatively narrow. Redrawn from (Lively 1999b) assuming a small cost to plasticity.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94685"/>
                        <wp:effectExtent b="0" l="0" r="0" t="0"/>
                        <wp:docPr descr="" title="" id="161" name="Picture"/>
                        <a:graphic>
                          <a:graphicData uri="http://schemas.openxmlformats.org/drawingml/2006/picture">
                            <pic:pic>
                              <pic:nvPicPr>
                                <pic:cNvPr descr="images/fig3-7.JPG" id="162" name="Picture"/>
                                <pic:cNvPicPr>
                                  <a:picLocks noChangeArrowheads="1" noChangeAspect="1"/>
                                </pic:cNvPicPr>
                              </pic:nvPicPr>
                              <pic:blipFill>
                                <a:blip r:embed="rId160"/>
                                <a:stretch>
                                  <a:fillRect/>
                                </a:stretch>
                              </pic:blipFill>
                              <pic:spPr bwMode="auto">
                                <a:xfrm>
                                  <a:off x="0" y="0"/>
                                  <a:ext cx="5943600" cy="3194685"/>
                                </a:xfrm>
                                <a:prstGeom prst="rect">
                                  <a:avLst/>
                                </a:prstGeom>
                                <a:noFill/>
                                <a:ln w="9525">
                                  <a:noFill/>
                                  <a:headEnd/>
                                  <a:tailEnd/>
                                </a:ln>
                              </pic:spPr>
                            </pic:pic>
                          </a:graphicData>
                        </a:graphic>
                      </wp:inline>
                    </w:drawing>
                  </w:r>
                </w:p>
                <w:p>
                  <w:pPr>
                    <w:jc w:val="center"/>
                  </w:pPr>
                  <w:pPr>
                    <w:jc w:val="start"/>
                    <w:spacing w:before="200"/>
                    <w:pStyle w:val="ImageCaption"/>
                  </w:pPr>
                </w:p>
              </w:tc>
            </w:tr>
          </w:tbl>
        </w:tc>
      </w:tr>
    </w:tbl>
    <w:bookmarkEnd w:id="163"/>
    <w:bookmarkEnd w:id="164"/>
    <w:bookmarkStart w:id="166" w:name="sec-chap6"/>
    <w:p>
      <w:pPr>
        <w:pStyle w:val="Heading1"/>
      </w:pPr>
      <w:r>
        <w:t xml:space="preserve">4. The Ratchet and the Red Queen</w:t>
      </w:r>
    </w:p>
    <w:p>
      <w:pPr>
        <w:pStyle w:val="FirstParagraph"/>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of 1990, arriving during a cold snap (-20&amp;degC).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 Most of this book aims to highlight the work of my incredible students and colleagues at IU.</w:t>
      </w:r>
    </w:p>
    <w:bookmarkStart w:id="165" w:name="the-problem-1"/>
    <w:p>
      <w:pPr>
        <w:pStyle w:val="Heading2"/>
      </w:pPr>
      <w:r>
        <w:t xml:space="preserve">4.1 The Problem</w:t>
      </w:r>
    </w:p>
    <w:bookmarkEnd w:id="165"/>
    <w:bookmarkEnd w:id="166"/>
    <w:bookmarkStart w:id="168" w:name="references"/>
    <w:p>
      <w:pPr>
        <w:pStyle w:val="Heading1"/>
      </w:pPr>
      <w:r>
        <w:t xml:space="preserve">References</w:t>
      </w:r>
    </w:p>
    <w:bookmarkStart w:id="167" w:name="refs"/>
    <w:bookmarkEnd w:id="167"/>
    <w:bookmarkEnd w:id="168"/>
    <w:sectPr w:rsidR="00DC3472" w:rsidRPr="004C2BE0">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38">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47">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56">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5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5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6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7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7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73">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74">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76">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77">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82">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85">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9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9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98">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99">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00">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4">
        <w:r>
          <w:rPr>
            <w:rStyle w:val="Hyperlink"/>
          </w:rPr>
          <w:t xml:space="preserve">Figure 3.3</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01">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02">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07">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16">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17">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 (see also Lively et al. 2000, Hazel et al. 2004).</w:t>
      </w:r>
    </w:p>
  </w:footnote>
  <w:footnote w:id="126">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27">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 (Churchill 1997).</w:t>
      </w:r>
    </w:p>
  </w:footnote>
  <w:footnote w:id="128">
    <w:p>
      <w:pPr>
        <w:pStyle w:val="FootnoteText"/>
      </w:pPr>
      <w:r>
        <w:rPr>
          <w:rStyle w:val="FootnoteReference"/>
        </w:rPr>
        <w:footnoteRef/>
      </w:r>
      <w:r>
        <w:t xml:space="preserve"> </w:t>
      </w:r>
      <w:r>
        <w:t xml:space="preserve">Prof.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 Winterbourn.</w:t>
      </w:r>
    </w:p>
  </w:footnote>
  <w:footnote w:id="129">
    <w:p>
      <w:pPr>
        <w:pStyle w:val="FootnoteText"/>
      </w:pPr>
      <w:r>
        <w:rPr>
          <w:rStyle w:val="FootnoteReference"/>
        </w:rPr>
        <w:footnoteRef/>
      </w:r>
      <w:r>
        <w:t xml:space="preserve"> </w:t>
      </w:r>
      <w:r>
        <w:t xml:space="preserve">See also Elliott and Brook (2007).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4</w:t>
        </w:r>
      </w:hyperlink>
      <w:r>
        <w:t xml:space="preserve">.</w:t>
      </w:r>
    </w:p>
  </w:footnote>
  <w:footnote w:id="135">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 (1978, page 65) 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38">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 (Soper et al. 2013).</w:t>
      </w:r>
    </w:p>
  </w:footnote>
  <w:footnote w:id="139">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0">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1">
    <w:p>
      <w:pPr>
        <w:pStyle w:val="FootnoteText"/>
      </w:pPr>
      <w:r>
        <w:rPr>
          <w:rStyle w:val="FootnoteReference"/>
        </w:rPr>
        <w:footnoteRef/>
      </w:r>
    </w:p>
    <w:p>
      <w:pPr>
        <w:pStyle w:val="BlockText"/>
      </w:pP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 (Levins 1966).</w:t>
      </w:r>
    </w:p>
  </w:footnote>
  <w:footnote w:id="142">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 (Antonovics and Ellstrand 1984, Ellstrand and Antonovics 1985). Later studies showed that the rare advantage was likely due to escape from infection (Kelley et al. 1988, Kelley 1993, 1994).</w:t>
      </w:r>
    </w:p>
  </w:footnote>
  <w:footnote w:id="143">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4">
        <w:r>
          <w:rPr>
            <w:rStyle w:val="Hyperlink"/>
          </w:rPr>
          <w:t xml:space="preserve">Figure 3.3</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4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 (Lively et al. 2021).</w:t>
      </w:r>
    </w:p>
  </w:footnote>
  <w:footnote w:id="149">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51">
    <w:p>
      <w:pPr>
        <w:pStyle w:val="FootnoteText"/>
      </w:pPr>
      <w:r>
        <w:rPr>
          <w:rStyle w:val="FootnoteReference"/>
        </w:rPr>
        <w:footnoteRef/>
      </w:r>
      <w:r>
        <w:t xml:space="preserve"> </w:t>
      </w:r>
      <w:r>
        <w:t xml:space="preserve">I think density dependence is critically important. Disease transmission is certainly density dependent (Anderson and May 1979, May and Anderson 1979). Virulence may also be density dependent (Lively et al. 1995, Bell et al. 2006, Lively 2006). Habitat partitioning may also play a role in the distribution of sexual females among depth-stratified habitats (Negovetic and Jokela 2001).</w:t>
      </w:r>
    </w:p>
  </w:footnote>
  <w:footnote w:id="159">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callout-4">
        <w:r>
          <w:rPr>
            <w:rStyle w:val="Hyperlink"/>
          </w:rPr>
          <w:t xml:space="preserve">Box 3.1</w:t>
        </w:r>
      </w:hyperlink>
      <w:r>
        <w:t xml:space="preserve">, different strategies are favored for different combinations of variables (i.e., different parts of the parameter space).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35EFEF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944274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D8C2087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C1E635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B7E54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508E5D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2567CA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26888F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4FEDB3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DEDD4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efefe"/>
    </w:pPr>
  </w:style>
  <w:style w:type="character" w:customStyle="1" w:styleId="KeywordTok">
    <w:name w:val="KeywordTok"/>
    <w:basedOn w:val="VerbatimChar"/>
    <w:rPr>
      <w:color w:val="d91e18"/>
      <w:shd w:val="clear" w:fill="fefefe"/>
    </w:rPr>
  </w:style>
  <w:style w:type="character" w:customStyle="1" w:styleId="DataTypeTok">
    <w:name w:val="DataTypeTok"/>
    <w:basedOn w:val="VerbatimChar"/>
    <w:rPr>
      <w:color w:val="7928a1"/>
      <w:shd w:val="clear" w:fill="fefefe"/>
    </w:rPr>
  </w:style>
  <w:style w:type="character" w:customStyle="1" w:styleId="DecValTok">
    <w:name w:val="DecValTok"/>
    <w:basedOn w:val="VerbatimChar"/>
    <w:rPr>
      <w:color w:val="7928a1"/>
      <w:shd w:val="clear" w:fill="fefefe"/>
    </w:rPr>
  </w:style>
  <w:style w:type="character" w:customStyle="1" w:styleId="BaseNTok">
    <w:name w:val="BaseNTok"/>
    <w:basedOn w:val="VerbatimChar"/>
    <w:rPr>
      <w:color w:val="7928a1"/>
      <w:shd w:val="clear" w:fill="fefefe"/>
    </w:rPr>
  </w:style>
  <w:style w:type="character" w:customStyle="1" w:styleId="FloatTok">
    <w:name w:val="FloatTok"/>
    <w:basedOn w:val="VerbatimChar"/>
    <w:rPr>
      <w:color w:val="a55a00"/>
      <w:shd w:val="clear" w:fill="fefefe"/>
    </w:rPr>
  </w:style>
  <w:style w:type="character" w:customStyle="1" w:styleId="ConstantTok">
    <w:name w:val="ConstantTok"/>
    <w:basedOn w:val="VerbatimChar"/>
    <w:rPr>
      <w:color w:val="d91e18"/>
      <w:shd w:val="clear" w:fill="fefefe"/>
    </w:rPr>
  </w:style>
  <w:style w:type="character" w:customStyle="1" w:styleId="CharTok">
    <w:name w:val="CharTok"/>
    <w:basedOn w:val="VerbatimChar"/>
    <w:rPr>
      <w:color w:val="008000"/>
      <w:shd w:val="clear" w:fill="fefefe"/>
    </w:rPr>
  </w:style>
  <w:style w:type="character" w:customStyle="1" w:styleId="SpecialCharTok">
    <w:name w:val="SpecialCharTok"/>
    <w:basedOn w:val="VerbatimChar"/>
    <w:rPr>
      <w:color w:val="00769e"/>
      <w:shd w:val="clear" w:fill="fefefe"/>
    </w:rPr>
  </w:style>
  <w:style w:type="character" w:customStyle="1" w:styleId="StringTok">
    <w:name w:val="StringTok"/>
    <w:basedOn w:val="VerbatimChar"/>
    <w:rPr>
      <w:color w:val="008000"/>
      <w:shd w:val="clear" w:fill="fefefe"/>
    </w:rPr>
  </w:style>
  <w:style w:type="character" w:customStyle="1" w:styleId="VerbatimStringTok">
    <w:name w:val="VerbatimStringTok"/>
    <w:basedOn w:val="VerbatimChar"/>
    <w:rPr>
      <w:color w:val="008000"/>
      <w:shd w:val="clear" w:fill="fefefe"/>
    </w:rPr>
  </w:style>
  <w:style w:type="character" w:customStyle="1" w:styleId="SpecialStringTok">
    <w:name w:val="SpecialStringTok"/>
    <w:basedOn w:val="VerbatimChar"/>
    <w:rPr>
      <w:color w:val="008000"/>
      <w:shd w:val="clear" w:fill="fefefe"/>
    </w:rPr>
  </w:style>
  <w:style w:type="character" w:customStyle="1" w:styleId="ImportTok">
    <w:name w:val="ImportTok"/>
    <w:basedOn w:val="VerbatimChar"/>
    <w:rPr>
      <w:color w:val="545454"/>
      <w:shd w:val="clear" w:fill="fefefe"/>
    </w:rPr>
  </w:style>
  <w:style w:type="character" w:customStyle="1" w:styleId="CommentTok">
    <w:name w:val="CommentTok"/>
    <w:basedOn w:val="VerbatimChar"/>
    <w:rPr>
      <w:color w:val="696969"/>
      <w:shd w:val="clear" w:fill="fefefe"/>
    </w:rPr>
  </w:style>
  <w:style w:type="character" w:customStyle="1" w:styleId="DocumentationTok">
    <w:name w:val="DocumentationTok"/>
    <w:basedOn w:val="VerbatimChar"/>
    <w:rPr>
      <w:color w:val="696969"/>
      <w:shd w:val="clear" w:fill="fefefe"/>
      <w:i/>
    </w:rPr>
  </w:style>
  <w:style w:type="character" w:customStyle="1" w:styleId="AnnotationTok">
    <w:name w:val="AnnotationTok"/>
    <w:basedOn w:val="VerbatimChar"/>
    <w:rPr>
      <w:color w:val="696969"/>
      <w:shd w:val="clear" w:fill="fefefe"/>
    </w:rPr>
  </w:style>
  <w:style w:type="character" w:customStyle="1" w:styleId="CommentVarTok">
    <w:name w:val="CommentVarTok"/>
    <w:basedOn w:val="VerbatimChar"/>
    <w:rPr>
      <w:color w:val="696969"/>
      <w:shd w:val="clear" w:fill="fefefe"/>
      <w:i/>
    </w:rPr>
  </w:style>
  <w:style w:type="character" w:customStyle="1" w:styleId="OtherTok">
    <w:name w:val="OtherTok"/>
    <w:basedOn w:val="VerbatimChar"/>
    <w:rPr>
      <w:color w:val="d91e18"/>
      <w:shd w:val="clear" w:fill="fefefe"/>
    </w:rPr>
  </w:style>
  <w:style w:type="character" w:customStyle="1" w:styleId="FunctionTok">
    <w:name w:val="FunctionTok"/>
    <w:basedOn w:val="VerbatimChar"/>
    <w:rPr>
      <w:color w:val="06287e"/>
      <w:shd w:val="clear" w:fill="fefefe"/>
    </w:rPr>
  </w:style>
  <w:style w:type="character" w:customStyle="1" w:styleId="VariableTok">
    <w:name w:val="VariableTok"/>
    <w:basedOn w:val="VerbatimChar"/>
    <w:rPr>
      <w:color w:val="a55a00"/>
      <w:shd w:val="clear" w:fill="fefefe"/>
    </w:rPr>
  </w:style>
  <w:style w:type="character" w:customStyle="1" w:styleId="ControlFlowTok">
    <w:name w:val="ControlFlowTok"/>
    <w:basedOn w:val="VerbatimChar"/>
    <w:rPr>
      <w:color w:val="d91e18"/>
      <w:shd w:val="clear" w:fill="fefefe"/>
    </w:rPr>
  </w:style>
  <w:style w:type="character" w:customStyle="1" w:styleId="OperatorTok">
    <w:name w:val="OperatorTok"/>
    <w:basedOn w:val="VerbatimChar"/>
    <w:rPr>
      <w:color w:val="00769e"/>
      <w:shd w:val="clear" w:fill="fefefe"/>
    </w:rPr>
  </w:style>
  <w:style w:type="character" w:customStyle="1" w:styleId="BuiltInTok">
    <w:name w:val="BuiltInTok"/>
    <w:basedOn w:val="VerbatimChar"/>
    <w:rPr>
      <w:color w:val="545454"/>
      <w:shd w:val="clear" w:fill="fefefe"/>
    </w:rPr>
  </w:style>
  <w:style w:type="character" w:customStyle="1" w:styleId="ExtensionTok">
    <w:name w:val="ExtensionTok"/>
    <w:basedOn w:val="VerbatimChar"/>
    <w:rPr>
      <w:color w:val="545454"/>
      <w:shd w:val="clear" w:fill="fefefe"/>
    </w:rPr>
  </w:style>
  <w:style w:type="character" w:customStyle="1" w:styleId="PreprocessorTok">
    <w:name w:val="PreprocessorTok"/>
    <w:basedOn w:val="VerbatimChar"/>
    <w:rPr>
      <w:color w:val="7928a1"/>
      <w:shd w:val="clear" w:fill="fefefe"/>
    </w:rPr>
  </w:style>
  <w:style w:type="character" w:customStyle="1" w:styleId="AttributeTok">
    <w:name w:val="AttributeTok"/>
    <w:basedOn w:val="VerbatimChar"/>
    <w:rPr>
      <w:color w:val="a55a00"/>
      <w:shd w:val="clear" w:fill="fefefe"/>
    </w:rPr>
  </w:style>
  <w:style w:type="character" w:customStyle="1" w:styleId="RegionMarkerTok">
    <w:name w:val="RegionMarkerTok"/>
    <w:basedOn w:val="VerbatimChar"/>
    <w:rPr>
      <w:color w:val="545454"/>
      <w:shd w:val="clear" w:fill="fefefe"/>
    </w:rPr>
  </w:style>
  <w:style w:type="character" w:customStyle="1" w:styleId="InformationTok">
    <w:name w:val="InformationTok"/>
    <w:basedOn w:val="VerbatimChar"/>
    <w:rPr>
      <w:color w:val="696969"/>
      <w:shd w:val="clear" w:fill="fefefe"/>
    </w:rPr>
  </w:style>
  <w:style w:type="character" w:customStyle="1" w:styleId="WarningTok">
    <w:name w:val="WarningTok"/>
    <w:basedOn w:val="VerbatimChar"/>
    <w:rPr>
      <w:color w:val="696969"/>
      <w:shd w:val="clear" w:fill="fefefe"/>
      <w:i/>
    </w:rPr>
  </w:style>
  <w:style w:type="character" w:customStyle="1" w:styleId="AlertTok">
    <w:name w:val="AlertTok"/>
    <w:basedOn w:val="VerbatimChar"/>
    <w:rPr>
      <w:color w:val="7928a1"/>
      <w:shd w:val="clear" w:fill="fefefe"/>
    </w:rPr>
  </w:style>
  <w:style w:type="character" w:customStyle="1" w:styleId="ErrorTok">
    <w:name w:val="ErrorTok"/>
    <w:basedOn w:val="VerbatimChar"/>
    <w:rPr>
      <w:color w:val="7928a1"/>
      <w:shd w:val="clear" w:fill="fefefe"/>
    </w:rPr>
  </w:style>
  <w:style w:type="character" w:customStyle="1" w:styleId="NormalTok">
    <w:name w:val="NormalTok"/>
    <w:basedOn w:val="VerbatimChar"/>
    <w:rPr>
      <w:color w:val="545454"/>
      <w:shd w:val="clear"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28" Target="media/rId28.pn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51" Target="media/rId51.jpg" /><Relationship Type="http://schemas.openxmlformats.org/officeDocument/2006/relationships/image" Id="rId68" Target="media/rId68.jpg" /><Relationship Type="http://schemas.openxmlformats.org/officeDocument/2006/relationships/image" Id="rId78" Target="media/rId78.jpg" /><Relationship Type="http://schemas.openxmlformats.org/officeDocument/2006/relationships/image" Id="rId86" Target="media/rId86.jpg" /><Relationship Type="http://schemas.openxmlformats.org/officeDocument/2006/relationships/image" Id="rId90" Target="media/rId90.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30" Target="media/rId130.png" /><Relationship Type="http://schemas.openxmlformats.org/officeDocument/2006/relationships/image" Id="rId144" Target="media/rId144.jpg" /><Relationship Type="http://schemas.openxmlformats.org/officeDocument/2006/relationships/image" Id="rId153" Target="media/rId153.jpg" /><Relationship Type="http://schemas.openxmlformats.org/officeDocument/2006/relationships/image" Id="rId160" Target="media/rId160.jpg" /><Relationship Type="http://schemas.openxmlformats.org/officeDocument/2006/relationships/hyperlink" Id="rId133" Target="" TargetMode="External" /><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33" Target="" TargetMode="External" /><Relationship Type="http://schemas.openxmlformats.org/officeDocument/2006/relationships/hyperlink" Id="rId95" Target="http://www.herkimershideaway.org/writings/carroll.htm" TargetMode="External" /><Relationship Type="http://schemas.openxmlformats.org/officeDocument/2006/relationships/hyperlink" Id="rId44" Target="https://connect.posit.iu.edu/clonal-invasion-dynamics/" TargetMode="External" /><Relationship Type="http://schemas.openxmlformats.org/officeDocument/2006/relationships/hyperlink" Id="rId83" Target="https://iulibscholcomm.github.io/through-the-looking-glass/eco-hyp-cont.html#callout-4" TargetMode="External" /><Relationship Type="http://schemas.openxmlformats.org/officeDocument/2006/relationships/hyperlink" Id="rId24" Target="https://libraries.indiana.edu/" TargetMode="External" /><Relationship Type="http://schemas.openxmlformats.org/officeDocument/2006/relationships/hyperlink" Id="rId43" Target="https://raw.githubusercontent.com/IULibScholComm/through-the-looking-glass/main/sim%20for%20fig%201.2(ZMD).R" TargetMode="External" /><Relationship Type="http://schemas.openxmlformats.org/officeDocument/2006/relationships/hyperlink" Id="rId57" Target="https://www.darwinproject.ac.uk/letter/DCP-LETT-2869.xml" TargetMode="External" /><Relationship Type="http://schemas.openxmlformats.org/officeDocument/2006/relationships/hyperlink" Id="rId21"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dc:title>
  <dc:creator>Curtis M. Lively</dc:creator>
  <dc:language>en-US</dc:language>
  <cp:keywords/>
  <dcterms:created xsi:type="dcterms:W3CDTF">2023-10-17T19:04:17Z</dcterms:created>
  <dcterms:modified xsi:type="dcterms:W3CDTF">2023-10-17T19:04:17Z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rossref">
    <vt:lpwstr/>
  </property>
  <property fmtid="{D5CDD505-2E9C-101B-9397-08002B2CF9AE}" pid="11" name="date">
    <vt:lpwstr>17 October 2023</vt:lpwstr>
  </property>
  <property fmtid="{D5CDD505-2E9C-101B-9397-08002B2CF9AE}" pid="12" name="date-format">
    <vt:lpwstr>DD MMMM YYYY</vt:lpwstr>
  </property>
  <property fmtid="{D5CDD505-2E9C-101B-9397-08002B2CF9AE}" pid="13" name="doi">
    <vt:lpwstr>TK</vt:lpwstr>
  </property>
  <property fmtid="{D5CDD505-2E9C-101B-9397-08002B2CF9AE}" pid="14" name="fig-cap-location">
    <vt:lpwstr>margin</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subtitle">
    <vt:lpwstr>I. Why Cross-Fertilize?</vt:lpwstr>
  </property>
  <property fmtid="{D5CDD505-2E9C-101B-9397-08002B2CF9AE}" pid="20" name="toc-title">
    <vt:lpwstr>Contents</vt:lpwstr>
  </property>
</Properties>
</file>